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after="60" w:line="360" w:lineRule="auto"/>
        <w:jc w:val="center"/>
      </w:pPr>
      <w:r>
        <w:rPr>
          <w:rFonts w:ascii="黑体" w:hAnsi="黑体" w:eastAsia="黑体" w:cs="黑体"/>
          <w:b/>
          <w:sz w:val="30"/>
          <w:szCs w:val="30"/>
        </w:rPr>
        <w:t>上海市第二轮郊区学校精准委托管理绩效评估指标（2023年）</w:t>
      </w:r>
    </w:p>
    <w:tbl>
      <w:tblPr>
        <w:tblStyle w:val="13"/>
        <w:tblW w:w="15510" w:type="dxa"/>
        <w:jc w:val="center"/>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Layout w:type="fixed"/>
        <w:tblCellMar>
          <w:top w:w="0" w:type="dxa"/>
          <w:left w:w="10" w:type="dxa"/>
          <w:bottom w:w="0" w:type="dxa"/>
          <w:right w:w="10" w:type="dxa"/>
        </w:tblCellMar>
      </w:tblPr>
      <w:tblGrid>
        <w:gridCol w:w="555"/>
        <w:gridCol w:w="555"/>
        <w:gridCol w:w="1155"/>
        <w:gridCol w:w="3643"/>
        <w:gridCol w:w="6077"/>
        <w:gridCol w:w="1005"/>
        <w:gridCol w:w="840"/>
        <w:gridCol w:w="840"/>
        <w:gridCol w:w="840"/>
      </w:tblGrid>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450" w:hRule="atLeast"/>
          <w:jc w:val="center"/>
        </w:trPr>
        <w:tc>
          <w:tcPr>
            <w:tcW w:w="55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一级</w:t>
            </w:r>
          </w:p>
        </w:tc>
        <w:tc>
          <w:tcPr>
            <w:tcW w:w="55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二级</w:t>
            </w:r>
          </w:p>
        </w:tc>
        <w:tc>
          <w:tcPr>
            <w:tcW w:w="115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评估要点</w:t>
            </w:r>
          </w:p>
        </w:tc>
        <w:tc>
          <w:tcPr>
            <w:tcW w:w="364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指标内涵</w:t>
            </w:r>
          </w:p>
        </w:tc>
        <w:tc>
          <w:tcPr>
            <w:tcW w:w="607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信息采集</w:t>
            </w: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pPr>
              <w:spacing w:line="218" w:lineRule="auto"/>
              <w:jc w:val="center"/>
            </w:pPr>
            <w:r>
              <w:rPr>
                <w:rFonts w:ascii="仿宋" w:hAnsi="仿宋" w:eastAsia="仿宋" w:cs="仿宋"/>
                <w:b/>
                <w:sz w:val="21"/>
                <w:szCs w:val="21"/>
              </w:rPr>
              <w:t>评分</w:t>
            </w:r>
            <w:r>
              <w:rPr>
                <w:rFonts w:ascii="仿宋" w:hAnsi="仿宋" w:eastAsia="仿宋" w:cs="仿宋"/>
                <w:b/>
                <w:sz w:val="18"/>
                <w:szCs w:val="18"/>
              </w:rPr>
              <w:t>（到指标内涵）</w:t>
            </w:r>
          </w:p>
        </w:tc>
        <w:tc>
          <w:tcPr>
            <w:tcW w:w="840" w:type="dxa"/>
            <w:tcBorders>
              <w:top w:val="single" w:color="000000" w:sz="8" w:space="0"/>
              <w:left w:val="single" w:color="000000" w:sz="8" w:space="0"/>
              <w:bottom w:val="single" w:color="000000" w:sz="8" w:space="0"/>
              <w:right w:val="single" w:color="000000" w:sz="8" w:space="0"/>
            </w:tcBorders>
            <w:shd w:val="clear" w:color="auto" w:fill="auto"/>
          </w:tcPr>
          <w:p>
            <w:pPr>
              <w:spacing w:line="218" w:lineRule="auto"/>
              <w:jc w:val="center"/>
            </w:pPr>
            <w:r>
              <w:rPr>
                <w:rFonts w:ascii="仿宋" w:hAnsi="仿宋" w:eastAsia="仿宋" w:cs="仿宋"/>
                <w:b/>
                <w:sz w:val="21"/>
                <w:szCs w:val="21"/>
              </w:rPr>
              <w:t>小计1</w:t>
            </w:r>
            <w:r>
              <w:rPr>
                <w:rFonts w:ascii="仿宋" w:hAnsi="仿宋" w:eastAsia="仿宋" w:cs="仿宋"/>
                <w:b/>
                <w:sz w:val="18"/>
                <w:szCs w:val="18"/>
              </w:rPr>
              <w:t>（到评估要点）</w:t>
            </w:r>
          </w:p>
        </w:tc>
        <w:tc>
          <w:tcPr>
            <w:tcW w:w="840" w:type="dxa"/>
            <w:tcBorders>
              <w:top w:val="single" w:color="000000" w:sz="8" w:space="0"/>
              <w:left w:val="single" w:color="000000" w:sz="8" w:space="0"/>
              <w:bottom w:val="single" w:color="000000" w:sz="8" w:space="0"/>
              <w:right w:val="single" w:color="000000" w:sz="8" w:space="0"/>
            </w:tcBorders>
            <w:shd w:val="clear" w:color="auto" w:fill="auto"/>
          </w:tcPr>
          <w:p>
            <w:pPr>
              <w:spacing w:line="218" w:lineRule="auto"/>
              <w:jc w:val="center"/>
            </w:pPr>
            <w:r>
              <w:rPr>
                <w:rFonts w:ascii="仿宋" w:hAnsi="仿宋" w:eastAsia="仿宋" w:cs="仿宋"/>
                <w:b/>
                <w:sz w:val="21"/>
                <w:szCs w:val="21"/>
              </w:rPr>
              <w:t>小计2</w:t>
            </w:r>
            <w:r>
              <w:rPr>
                <w:rFonts w:ascii="仿宋" w:hAnsi="仿宋" w:eastAsia="仿宋" w:cs="仿宋"/>
                <w:b/>
                <w:sz w:val="18"/>
                <w:szCs w:val="18"/>
              </w:rPr>
              <w:t>（到二级指标）</w:t>
            </w:r>
          </w:p>
        </w:tc>
        <w:tc>
          <w:tcPr>
            <w:tcW w:w="840" w:type="dxa"/>
            <w:tcBorders>
              <w:top w:val="single" w:color="000000" w:sz="8" w:space="0"/>
              <w:left w:val="single" w:color="000000" w:sz="8" w:space="0"/>
              <w:bottom w:val="single" w:color="000000" w:sz="8" w:space="0"/>
              <w:right w:val="single" w:color="000000" w:sz="8" w:space="0"/>
            </w:tcBorders>
            <w:shd w:val="clear" w:color="auto" w:fill="auto"/>
          </w:tcPr>
          <w:p>
            <w:pPr>
              <w:spacing w:line="218" w:lineRule="auto"/>
              <w:jc w:val="center"/>
            </w:pPr>
            <w:r>
              <w:rPr>
                <w:rFonts w:ascii="仿宋" w:hAnsi="仿宋" w:eastAsia="仿宋" w:cs="仿宋"/>
                <w:b/>
                <w:sz w:val="21"/>
                <w:szCs w:val="21"/>
              </w:rPr>
              <w:t>合计</w:t>
            </w:r>
            <w:r>
              <w:rPr>
                <w:rFonts w:ascii="仿宋" w:hAnsi="仿宋" w:eastAsia="仿宋" w:cs="仿宋"/>
                <w:b/>
                <w:sz w:val="18"/>
                <w:szCs w:val="18"/>
              </w:rPr>
              <w:t>（到一级指标）</w:t>
            </w: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570" w:hRule="atLeast"/>
          <w:jc w:val="center"/>
        </w:trPr>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A1</w:t>
            </w:r>
          </w:p>
          <w:p>
            <w:pPr>
              <w:spacing w:line="327" w:lineRule="auto"/>
              <w:jc w:val="center"/>
            </w:pPr>
            <w:r>
              <w:rPr>
                <w:rFonts w:ascii="仿宋" w:hAnsi="仿宋" w:eastAsia="仿宋" w:cs="仿宋"/>
                <w:b/>
                <w:sz w:val="21"/>
                <w:szCs w:val="21"/>
              </w:rPr>
              <w:t>规范管理</w:t>
            </w:r>
          </w:p>
          <w:p>
            <w:pPr>
              <w:spacing w:line="327" w:lineRule="auto"/>
              <w:jc w:val="center"/>
            </w:pPr>
            <w:r>
              <w:rPr>
                <w:rFonts w:ascii="仿宋" w:hAnsi="仿宋" w:eastAsia="仿宋" w:cs="仿宋"/>
                <w:b/>
                <w:sz w:val="21"/>
                <w:szCs w:val="21"/>
              </w:rPr>
              <w:t>20</w:t>
            </w:r>
          </w:p>
        </w:tc>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*B1</w:t>
            </w:r>
          </w:p>
          <w:p>
            <w:pPr>
              <w:spacing w:line="327" w:lineRule="auto"/>
              <w:jc w:val="center"/>
            </w:pPr>
            <w:r>
              <w:rPr>
                <w:rFonts w:ascii="仿宋" w:hAnsi="仿宋" w:eastAsia="仿宋" w:cs="仿宋"/>
                <w:b/>
                <w:sz w:val="21"/>
                <w:szCs w:val="21"/>
              </w:rPr>
              <w:t>协议履行16</w:t>
            </w: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C1</w:t>
            </w:r>
          </w:p>
          <w:p>
            <w:pPr>
              <w:spacing w:line="327" w:lineRule="auto"/>
              <w:jc w:val="center"/>
            </w:pPr>
            <w:r>
              <w:rPr>
                <w:rFonts w:ascii="仿宋" w:hAnsi="仿宋" w:eastAsia="仿宋" w:cs="仿宋"/>
                <w:b/>
                <w:sz w:val="21"/>
                <w:szCs w:val="21"/>
              </w:rPr>
              <w:t>责任落实5</w:t>
            </w:r>
          </w:p>
        </w:tc>
        <w:tc>
          <w:tcPr>
            <w:tcW w:w="364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pPr>
            <w:r>
              <w:rPr>
                <w:rFonts w:ascii="仿宋" w:hAnsi="仿宋" w:eastAsia="仿宋" w:cs="仿宋"/>
                <w:sz w:val="21"/>
                <w:szCs w:val="21"/>
              </w:rPr>
              <w:t>1.按照市教委关于精准委托管理的要求履行托管协议，建立相关管理制度，形成相关运行机制，落实托管责任主体（2）</w:t>
            </w:r>
          </w:p>
          <w:p>
            <w:pPr>
              <w:spacing w:line="290" w:lineRule="auto"/>
            </w:pPr>
            <w:r>
              <w:rPr>
                <w:rFonts w:ascii="仿宋" w:hAnsi="仿宋" w:eastAsia="仿宋" w:cs="仿宋"/>
                <w:sz w:val="21"/>
                <w:szCs w:val="21"/>
              </w:rPr>
              <w:t>2.支援单位能切实担负起受援校管理责任，落实托管委员会下的校长负责制；受援校能依照协议积极配合（2）</w:t>
            </w:r>
          </w:p>
          <w:p>
            <w:pPr>
              <w:spacing w:line="327" w:lineRule="auto"/>
            </w:pPr>
            <w:r>
              <w:rPr>
                <w:rFonts w:ascii="仿宋" w:hAnsi="仿宋" w:eastAsia="仿宋" w:cs="仿宋"/>
                <w:sz w:val="21"/>
                <w:szCs w:val="21"/>
              </w:rPr>
              <w:t>3.托管方案经上级相关部门签字确认并存档（1）</w:t>
            </w:r>
          </w:p>
        </w:tc>
        <w:tc>
          <w:tcPr>
            <w:tcW w:w="60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sz w:val="21"/>
                <w:szCs w:val="21"/>
              </w:rPr>
            </w:pPr>
            <w:r>
              <w:rPr>
                <w:rFonts w:hint="eastAsia" w:ascii="宋体" w:hAnsi="宋体" w:eastAsia="宋体" w:cs="宋体"/>
                <w:color w:val="000000"/>
                <w:sz w:val="21"/>
                <w:szCs w:val="21"/>
              </w:rPr>
              <w:t>1.按照市教委相关要求，开展招投标，中标后签订托管协议。履行精准托管协议过程中，</w:t>
            </w:r>
            <w:r>
              <w:rPr>
                <w:rFonts w:hint="eastAsia" w:ascii="宋体" w:hAnsi="宋体" w:eastAsia="宋体" w:cs="宋体"/>
                <w:sz w:val="21"/>
                <w:szCs w:val="21"/>
              </w:rPr>
              <w:t>上海名师培训中心（简称：“上海名师”）有严格的</w:t>
            </w:r>
            <w:r>
              <w:rPr>
                <w:rFonts w:hint="eastAsia" w:ascii="宋体" w:hAnsi="宋体" w:eastAsia="宋体" w:cs="宋体"/>
                <w:color w:val="000000"/>
                <w:sz w:val="21"/>
                <w:szCs w:val="21"/>
              </w:rPr>
              <w:t>精准托管制度如：《托管委员会工作职责》、《托管学校各级领导管理职责》、《托管教育总监职责》、《专家团队职责》、《托管教师岗位职责》、《上海名师培训中心关于委托管理专项经费使用规定》等，明确精准托管的责任，有很强的办学责任意识，在托管过程中不断完善相关制度，建立相应的机制，用制度来保证责任主体精准托管的落实。</w:t>
            </w:r>
          </w:p>
          <w:p>
            <w:pPr>
              <w:spacing w:line="276" w:lineRule="auto"/>
              <w:rPr>
                <w:rFonts w:ascii="宋体" w:hAnsi="宋体" w:eastAsia="宋体" w:cs="宋体"/>
                <w:sz w:val="21"/>
                <w:szCs w:val="21"/>
              </w:rPr>
            </w:pPr>
            <w:r>
              <w:rPr>
                <w:rFonts w:hint="eastAsia" w:ascii="宋体" w:hAnsi="宋体" w:eastAsia="宋体" w:cs="宋体"/>
                <w:color w:val="000000"/>
                <w:sz w:val="21"/>
                <w:szCs w:val="21"/>
              </w:rPr>
              <w:t>2.学校在党支部领导下，支援方领导杜慧琦、托管总监徐华玲与受援方校级领导组</w:t>
            </w:r>
            <w:r>
              <w:rPr>
                <w:rFonts w:hint="eastAsia" w:ascii="宋体" w:hAnsi="宋体" w:eastAsia="宋体" w:cs="宋体"/>
                <w:sz w:val="21"/>
                <w:szCs w:val="21"/>
              </w:rPr>
              <w:t>成的精准托管委员会，实行精准托管委员会下的校长负责制，履行学校发展的主体责任。岗位分工明确（见分工表），明确职责，责任到人。受援学校干部、教师同心协力，全方位参与，双方文化融合，各尽其责，形成合力。</w:t>
            </w:r>
          </w:p>
          <w:p>
            <w:pPr>
              <w:spacing w:line="276" w:lineRule="auto"/>
              <w:rPr>
                <w:rFonts w:ascii="宋体" w:hAnsi="宋体" w:eastAsia="宋体" w:cs="宋体"/>
                <w:sz w:val="21"/>
                <w:szCs w:val="21"/>
              </w:rPr>
            </w:pPr>
            <w:r>
              <w:rPr>
                <w:rFonts w:hint="eastAsia" w:ascii="宋体" w:hAnsi="宋体" w:eastAsia="宋体" w:cs="宋体"/>
                <w:sz w:val="21"/>
                <w:szCs w:val="21"/>
              </w:rPr>
              <w:t>3.托管委员会对学校进行初态评估的基础上，与学校领导、教师共同商议，在谢诒范、顾志跃、朱蕾等专家指导下，从学校实际出发制定了精准托管方案，青浦区教育局组织专家组对方案论证，在专家提出建议基础上，我们修改完善，定稿后经教代会审议通过，上校园网，开讲座，宣传方案，提高受援校师生的知晓度。</w:t>
            </w:r>
          </w:p>
          <w:p>
            <w:pPr>
              <w:spacing w:line="276" w:lineRule="auto"/>
              <w:rPr>
                <w:rFonts w:ascii="宋体" w:hAnsi="宋体" w:eastAsia="宋体" w:cs="宋体"/>
                <w:sz w:val="21"/>
                <w:szCs w:val="21"/>
              </w:rPr>
            </w:pPr>
            <w:r>
              <w:rPr>
                <w:rFonts w:hint="eastAsia" w:ascii="宋体" w:hAnsi="宋体" w:eastAsia="宋体" w:cs="宋体"/>
                <w:sz w:val="21"/>
                <w:szCs w:val="21"/>
              </w:rPr>
              <w:t>4.精准托管委员会每月一次例会，根据受援校的实际和托管方案目标，研究目标落实要开展的各项工作，实施策略，明确提出工作要求，托管团队和受援校共同执行；过程中根据受援学校实际和需求，适时调整，开展形式多样的精准托管。</w:t>
            </w:r>
          </w:p>
          <w:p>
            <w:pPr>
              <w:spacing w:line="276" w:lineRule="auto"/>
              <w:rPr>
                <w:rFonts w:ascii="宋体" w:hAnsi="宋体" w:eastAsia="宋体" w:cs="宋体"/>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r>
              <w:rPr>
                <w:rFonts w:ascii="仿宋" w:hAnsi="仿宋" w:eastAsia="仿宋" w:cs="仿宋"/>
                <w:b/>
                <w:sz w:val="21"/>
                <w:szCs w:val="21"/>
              </w:rPr>
              <w:t>2</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r>
              <w:rPr>
                <w:rFonts w:ascii="仿宋" w:hAnsi="仿宋" w:eastAsia="仿宋" w:cs="仿宋"/>
                <w:b/>
                <w:sz w:val="21"/>
                <w:szCs w:val="21"/>
              </w:rPr>
              <w:t>5</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rPr>
                <w:rFonts w:hint="default" w:eastAsia="仿宋"/>
                <w:lang w:val="en-US" w:eastAsia="zh-CN"/>
              </w:rPr>
            </w:pPr>
            <w:r>
              <w:rPr>
                <w:rFonts w:hint="eastAsia" w:ascii="仿宋" w:hAnsi="仿宋" w:eastAsia="仿宋" w:cs="仿宋"/>
                <w:b/>
                <w:sz w:val="21"/>
                <w:szCs w:val="21"/>
                <w:lang w:val="en-US" w:eastAsia="zh-CN"/>
              </w:rPr>
              <w:t>16</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rPr>
                <w:rFonts w:hint="default" w:eastAsia="宋体"/>
                <w:lang w:val="en-US" w:eastAsia="zh-CN"/>
              </w:rPr>
            </w:pPr>
            <w:r>
              <w:rPr>
                <w:rFonts w:hint="eastAsia" w:eastAsia="宋体"/>
                <w:lang w:val="en-US" w:eastAsia="zh-CN"/>
              </w:rPr>
              <w:t>20</w:t>
            </w: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57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p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r>
              <w:rPr>
                <w:rFonts w:ascii="仿宋" w:hAnsi="仿宋" w:eastAsia="仿宋" w:cs="仿宋"/>
                <w:b/>
                <w:sz w:val="21"/>
                <w:szCs w:val="21"/>
              </w:rPr>
              <w:t>2</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57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p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r>
              <w:rPr>
                <w:rFonts w:ascii="仿宋" w:hAnsi="仿宋" w:eastAsia="仿宋" w:cs="仿宋"/>
                <w:b/>
                <w:sz w:val="21"/>
                <w:szCs w:val="21"/>
              </w:rPr>
              <w:t>1</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63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C2</w:t>
            </w:r>
          </w:p>
          <w:p>
            <w:pPr>
              <w:spacing w:line="327" w:lineRule="auto"/>
              <w:jc w:val="center"/>
            </w:pPr>
            <w:r>
              <w:rPr>
                <w:rFonts w:ascii="仿宋" w:hAnsi="仿宋" w:eastAsia="仿宋" w:cs="仿宋"/>
                <w:b/>
                <w:sz w:val="21"/>
                <w:szCs w:val="21"/>
              </w:rPr>
              <w:t>托管团队6</w:t>
            </w:r>
          </w:p>
        </w:tc>
        <w:tc>
          <w:tcPr>
            <w:tcW w:w="364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pPr>
            <w:r>
              <w:rPr>
                <w:rFonts w:ascii="仿宋" w:hAnsi="仿宋" w:eastAsia="仿宋" w:cs="仿宋"/>
                <w:sz w:val="21"/>
                <w:szCs w:val="21"/>
              </w:rPr>
              <w:t>1.托管团队负责人进入受援校决策层，团队成员分工明确、权责明晰、托管工作运作有效、管理规范（1）</w:t>
            </w:r>
          </w:p>
          <w:p>
            <w:pPr>
              <w:tabs>
                <w:tab w:val="left" w:pos="709"/>
              </w:tabs>
              <w:spacing w:line="327" w:lineRule="auto"/>
            </w:pPr>
            <w:r>
              <w:rPr>
                <w:rFonts w:ascii="仿宋" w:hAnsi="仿宋" w:eastAsia="仿宋" w:cs="仿宋"/>
                <w:sz w:val="21"/>
                <w:szCs w:val="21"/>
              </w:rPr>
              <w:t>2.常驻团队人员稳定，常驻人数和时间符合市教委相关要求（2）</w:t>
            </w:r>
          </w:p>
          <w:p>
            <w:pPr>
              <w:tabs>
                <w:tab w:val="left" w:pos="709"/>
              </w:tabs>
              <w:spacing w:line="327" w:lineRule="auto"/>
            </w:pPr>
            <w:r>
              <w:rPr>
                <w:rFonts w:ascii="仿宋" w:hAnsi="仿宋" w:eastAsia="仿宋" w:cs="仿宋"/>
                <w:sz w:val="21"/>
                <w:szCs w:val="21"/>
              </w:rPr>
              <w:t>3.托管团队结构合理，能按照各阶段托管目标，深入指导学校管理、教师发展和教育教学工作（1）</w:t>
            </w:r>
          </w:p>
          <w:p>
            <w:pPr>
              <w:spacing w:line="327" w:lineRule="auto"/>
            </w:pPr>
            <w:r>
              <w:rPr>
                <w:rFonts w:ascii="仿宋" w:hAnsi="仿宋" w:eastAsia="仿宋" w:cs="仿宋"/>
                <w:sz w:val="21"/>
                <w:szCs w:val="21"/>
              </w:rPr>
              <w:t>4.制定托管团队工作制度，执行情况良好，重视托管工作资料积累（2）</w:t>
            </w:r>
          </w:p>
        </w:tc>
        <w:tc>
          <w:tcPr>
            <w:tcW w:w="60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sz w:val="21"/>
                <w:szCs w:val="21"/>
              </w:rPr>
            </w:pPr>
            <w:r>
              <w:rPr>
                <w:rFonts w:hint="eastAsia" w:ascii="宋体" w:hAnsi="宋体" w:eastAsia="宋体" w:cs="宋体"/>
                <w:color w:val="000000"/>
                <w:sz w:val="21"/>
                <w:szCs w:val="21"/>
              </w:rPr>
              <w:t>1.“</w:t>
            </w:r>
            <w:r>
              <w:rPr>
                <w:rFonts w:hint="eastAsia" w:ascii="宋体" w:hAnsi="宋体" w:eastAsia="宋体" w:cs="宋体"/>
                <w:sz w:val="21"/>
                <w:szCs w:val="21"/>
              </w:rPr>
              <w:t>上海名师”精准托管的岗位责任制设置：常驻团</w:t>
            </w:r>
            <w:r>
              <w:rPr>
                <w:rFonts w:hint="eastAsia" w:ascii="宋体" w:hAnsi="宋体" w:eastAsia="宋体" w:cs="宋体"/>
                <w:color w:val="000000"/>
                <w:sz w:val="21"/>
                <w:szCs w:val="21"/>
              </w:rPr>
              <w:t>队徐华玲（教育总监、化学指导教师）、李裕玲（英语指导老师）、华琴（数学指</w:t>
            </w:r>
            <w:r>
              <w:rPr>
                <w:rFonts w:hint="eastAsia" w:ascii="宋体" w:hAnsi="宋体" w:eastAsia="宋体" w:cs="宋体"/>
                <w:sz w:val="21"/>
                <w:szCs w:val="21"/>
              </w:rPr>
              <w:t>导老师）每周到学校3天。教育总监徐华玲全面参与学校行政管理工作,负责指导受援学校教育教学工作的管理与监控，指导学校落实托管目标，推进各项工作；常驻教师团队、李裕玲、华琴参与学校日常教育教学工作，诊断把脉，及时指导，承担受援方教师团队带教及研究学生，改进课堂教学等任务，执行托管委员会提出的目标、内容及工作要求，有质量的组织教育教学活动。</w:t>
            </w:r>
          </w:p>
          <w:p>
            <w:pPr>
              <w:rPr>
                <w:rFonts w:ascii="宋体" w:hAnsi="宋体" w:eastAsia="宋体" w:cs="宋体"/>
                <w:sz w:val="21"/>
                <w:szCs w:val="21"/>
              </w:rPr>
            </w:pPr>
            <w:r>
              <w:rPr>
                <w:rFonts w:hint="eastAsia" w:ascii="宋体" w:hAnsi="宋体" w:eastAsia="宋体" w:cs="宋体"/>
                <w:color w:val="000000"/>
                <w:sz w:val="21"/>
                <w:szCs w:val="21"/>
              </w:rPr>
              <w:t xml:space="preserve"> 2．“上海名师”专家团队倾力</w:t>
            </w:r>
            <w:r>
              <w:rPr>
                <w:rFonts w:hint="eastAsia" w:ascii="宋体" w:hAnsi="宋体" w:eastAsia="宋体" w:cs="宋体"/>
                <w:sz w:val="21"/>
                <w:szCs w:val="21"/>
              </w:rPr>
              <w:t>参与指导，科研指导谢诒范老师，指导、受援学校邓校长领衔建立的区重点课题《整合劳动教育，构建新时代学校课程一体化的研究实践》已顺利结题。语文指导江秀萍、江涛老师定时进行学科诊断与评价，帮助教师有针对性开展教学，提高质量；物理陈琦及时传递新中考理念帮助教师指导学生正确的实验方法。在名师指导下的校本培训受到老师们的好评。</w:t>
            </w:r>
          </w:p>
          <w:p>
            <w:pPr>
              <w:spacing w:line="276" w:lineRule="auto"/>
              <w:rPr>
                <w:rFonts w:ascii="宋体" w:hAnsi="宋体" w:eastAsia="宋体" w:cs="宋体"/>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r>
              <w:rPr>
                <w:rFonts w:ascii="仿宋" w:hAnsi="仿宋" w:eastAsia="仿宋" w:cs="仿宋"/>
                <w:sz w:val="21"/>
                <w:szCs w:val="21"/>
              </w:rPr>
              <w:t>1</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Pr>
          <w:p>
            <w:r>
              <w:rPr>
                <w:rFonts w:ascii="仿宋" w:hAnsi="仿宋" w:eastAsia="仿宋" w:cs="仿宋"/>
                <w:sz w:val="21"/>
                <w:szCs w:val="21"/>
              </w:rPr>
              <w:t>6</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63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p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r>
              <w:rPr>
                <w:rFonts w:ascii="仿宋" w:hAnsi="仿宋" w:eastAsia="仿宋" w:cs="仿宋"/>
                <w:sz w:val="21"/>
                <w:szCs w:val="21"/>
              </w:rPr>
              <w:t>2</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63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p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r>
              <w:rPr>
                <w:rFonts w:ascii="仿宋" w:hAnsi="仿宋" w:eastAsia="仿宋" w:cs="仿宋"/>
                <w:sz w:val="21"/>
                <w:szCs w:val="21"/>
              </w:rPr>
              <w:t>1</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63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p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pPr>
              <w:rPr>
                <w:rFonts w:eastAsia="宋体"/>
              </w:rPr>
            </w:pPr>
            <w:r>
              <w:rPr>
                <w:rFonts w:hint="eastAsia" w:eastAsia="宋体"/>
              </w:rPr>
              <w:t>2</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1256"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C3</w:t>
            </w:r>
          </w:p>
          <w:p>
            <w:pPr>
              <w:spacing w:line="327" w:lineRule="auto"/>
              <w:jc w:val="center"/>
            </w:pPr>
            <w:r>
              <w:rPr>
                <w:rFonts w:ascii="仿宋" w:hAnsi="仿宋" w:eastAsia="仿宋" w:cs="仿宋"/>
                <w:b/>
                <w:sz w:val="21"/>
                <w:szCs w:val="21"/>
              </w:rPr>
              <w:t>目标达成5</w:t>
            </w:r>
          </w:p>
        </w:tc>
        <w:tc>
          <w:tcPr>
            <w:tcW w:w="364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rPr>
                <w:rFonts w:ascii="仿宋" w:hAnsi="仿宋" w:eastAsia="仿宋" w:cs="仿宋"/>
                <w:sz w:val="21"/>
                <w:szCs w:val="21"/>
              </w:rPr>
            </w:pPr>
            <w:r>
              <w:rPr>
                <w:rFonts w:hint="eastAsia" w:ascii="仿宋" w:hAnsi="仿宋" w:eastAsia="仿宋" w:cs="仿宋"/>
                <w:color w:val="FF0000"/>
                <w:sz w:val="21"/>
                <w:szCs w:val="21"/>
              </w:rPr>
              <w:t>1</w:t>
            </w:r>
            <w:r>
              <w:rPr>
                <w:rFonts w:hint="eastAsia" w:ascii="仿宋" w:hAnsi="仿宋" w:eastAsia="仿宋" w:cs="仿宋"/>
                <w:sz w:val="21"/>
                <w:szCs w:val="21"/>
              </w:rPr>
              <w:t>.</w:t>
            </w:r>
            <w:r>
              <w:rPr>
                <w:rFonts w:ascii="仿宋" w:hAnsi="仿宋" w:eastAsia="仿宋" w:cs="仿宋"/>
                <w:sz w:val="21"/>
                <w:szCs w:val="21"/>
              </w:rPr>
              <w:t>托管目标能参考中期评估结论及时调整与优化（1）</w:t>
            </w:r>
          </w:p>
          <w:p>
            <w:pPr>
              <w:spacing w:line="327" w:lineRule="auto"/>
            </w:pPr>
            <w:r>
              <w:rPr>
                <w:rFonts w:ascii="仿宋" w:hAnsi="仿宋" w:eastAsia="仿宋" w:cs="仿宋"/>
                <w:sz w:val="21"/>
                <w:szCs w:val="21"/>
              </w:rPr>
              <w:t>2.各项托管目标达成度高（4）</w:t>
            </w:r>
          </w:p>
        </w:tc>
        <w:tc>
          <w:tcPr>
            <w:tcW w:w="60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eastAsia="宋体" w:cs="宋体"/>
                <w:color w:val="000000"/>
                <w:sz w:val="21"/>
                <w:szCs w:val="21"/>
              </w:rPr>
            </w:pPr>
            <w:r>
              <w:rPr>
                <w:rFonts w:hint="eastAsia" w:ascii="宋体" w:hAnsi="宋体" w:eastAsia="宋体" w:cs="宋体"/>
                <w:color w:val="000000"/>
                <w:sz w:val="21"/>
                <w:szCs w:val="21"/>
              </w:rPr>
              <w:t>1.中期评估后，我们结合学校实际，对托管方案中进一步加强干部队伍的建设与智优学生的培养以及对学困生的帮扶，进一步制定和完善学校奖励制度，三年中提拔培养</w:t>
            </w:r>
            <w:r>
              <w:rPr>
                <w:rFonts w:ascii="宋体" w:hAnsi="宋体" w:eastAsia="宋体" w:cs="宋体"/>
                <w:color w:val="000000"/>
                <w:sz w:val="21"/>
                <w:szCs w:val="21"/>
              </w:rPr>
              <w:t>3</w:t>
            </w:r>
            <w:r>
              <w:rPr>
                <w:rFonts w:hint="eastAsia" w:ascii="宋体" w:hAnsi="宋体" w:eastAsia="宋体" w:cs="宋体"/>
                <w:color w:val="000000"/>
                <w:sz w:val="21"/>
                <w:szCs w:val="21"/>
              </w:rPr>
              <w:t>名年轻的中层干部；学校管理团队增添了活力，干部梯队培养逐步形成机制。</w:t>
            </w:r>
          </w:p>
          <w:p>
            <w:pPr>
              <w:rPr>
                <w:rFonts w:ascii="宋体" w:hAnsi="宋体" w:eastAsia="宋体" w:cs="宋体"/>
                <w:color w:val="000000"/>
                <w:sz w:val="21"/>
                <w:szCs w:val="21"/>
              </w:rPr>
            </w:pPr>
            <w:r>
              <w:rPr>
                <w:rFonts w:hint="eastAsia" w:ascii="宋体" w:hAnsi="宋体" w:eastAsia="宋体" w:cs="宋体"/>
                <w:color w:val="000000"/>
                <w:sz w:val="21"/>
                <w:szCs w:val="21"/>
              </w:rPr>
              <w:t>2.学校主课题《整合劳动教育，建构新时代学校课程一体化的实践研究》，写入方案，作为引领学校工作，优化课堂教学、培养学生动手能力教育的一个抓手。</w:t>
            </w:r>
          </w:p>
          <w:p>
            <w:pPr>
              <w:spacing w:line="276" w:lineRule="auto"/>
              <w:rPr>
                <w:rFonts w:ascii="宋体" w:hAnsi="宋体" w:eastAsia="宋体" w:cs="宋体"/>
                <w:color w:val="000000"/>
                <w:sz w:val="21"/>
                <w:szCs w:val="21"/>
              </w:rPr>
            </w:pPr>
            <w:r>
              <w:rPr>
                <w:rFonts w:hint="eastAsia" w:ascii="宋体" w:hAnsi="宋体" w:eastAsia="宋体" w:cs="宋体"/>
                <w:color w:val="000000"/>
                <w:sz w:val="21"/>
                <w:szCs w:val="21"/>
              </w:rPr>
              <w:t>3.常驻团队与受援校教师共同建立教育教学质量监控制度，深入教研组，引导教师研究学生，优化课堂教学，，帮助学校逐步建设题库，疫情期间全面无偿开放线上平台，提供了28个视频资源，有青春期教育、家庭教育、人文素养培育、课堂教学等，以组织和推荐相结合形式让全体师生和家长选择观看，名师中心网上的题库给受援校教师无偿使用，常驻团队教师积极的为上网课的教师出谋划策提供教学资料。取得良好的教育教学效果。学生学业有明显进步。</w:t>
            </w:r>
          </w:p>
          <w:p>
            <w:pPr>
              <w:spacing w:line="276" w:lineRule="auto"/>
              <w:rPr>
                <w:rFonts w:ascii="宋体" w:hAnsi="宋体" w:eastAsia="宋体" w:cs="宋体"/>
                <w:color w:val="000000"/>
                <w:sz w:val="21"/>
                <w:szCs w:val="21"/>
              </w:rPr>
            </w:pPr>
            <w:r>
              <w:rPr>
                <w:rFonts w:hint="eastAsia" w:ascii="宋体" w:hAnsi="宋体" w:eastAsia="宋体" w:cs="宋体"/>
                <w:color w:val="000000"/>
                <w:sz w:val="21"/>
                <w:szCs w:val="21"/>
              </w:rPr>
              <w:t>4.建立学生行为规范的分年级重点内容，加强学生行为规范培养，坚持全员育人，效果明显，学生学业成绩逐年提高。</w:t>
            </w:r>
          </w:p>
          <w:p>
            <w:pPr>
              <w:spacing w:line="276" w:lineRule="auto"/>
              <w:rPr>
                <w:rFonts w:ascii="宋体" w:hAnsi="宋体" w:eastAsia="宋体" w:cs="宋体"/>
                <w:color w:val="000000"/>
                <w:sz w:val="21"/>
                <w:szCs w:val="21"/>
              </w:rPr>
            </w:pPr>
            <w:r>
              <w:rPr>
                <w:rFonts w:hint="eastAsia" w:ascii="宋体" w:hAnsi="宋体" w:eastAsia="宋体" w:cs="宋体"/>
                <w:color w:val="000000"/>
                <w:sz w:val="21"/>
                <w:szCs w:val="21"/>
              </w:rPr>
              <w:t>5.建立并完善了学校各项制度，尤其是激励制度与相关机制的实施，大大调动了干部和教师们的积极性，优化了干部队伍与教师队伍的建设，培养了中层干部</w:t>
            </w:r>
            <w:r>
              <w:rPr>
                <w:rFonts w:ascii="宋体" w:hAnsi="宋体" w:eastAsia="宋体" w:cs="宋体"/>
                <w:color w:val="000000"/>
                <w:sz w:val="21"/>
                <w:szCs w:val="21"/>
              </w:rPr>
              <w:t>3</w:t>
            </w:r>
            <w:r>
              <w:rPr>
                <w:rFonts w:hint="eastAsia" w:ascii="宋体" w:hAnsi="宋体" w:eastAsia="宋体" w:cs="宋体"/>
                <w:color w:val="000000"/>
                <w:sz w:val="21"/>
                <w:szCs w:val="21"/>
              </w:rPr>
              <w:t>名，1名教师晋升中学高级教师，培养区骨干教师</w:t>
            </w:r>
            <w:r>
              <w:rPr>
                <w:rFonts w:ascii="宋体" w:hAnsi="宋体" w:eastAsia="宋体" w:cs="宋体"/>
                <w:color w:val="000000"/>
                <w:sz w:val="21"/>
                <w:szCs w:val="21"/>
              </w:rPr>
              <w:t>8</w:t>
            </w:r>
            <w:r>
              <w:rPr>
                <w:rFonts w:hint="eastAsia" w:ascii="宋体" w:hAnsi="宋体" w:eastAsia="宋体" w:cs="宋体"/>
                <w:color w:val="000000"/>
                <w:sz w:val="21"/>
                <w:szCs w:val="21"/>
              </w:rPr>
              <w:t xml:space="preserve">名和知名教师 </w:t>
            </w:r>
            <w:r>
              <w:rPr>
                <w:rFonts w:ascii="宋体" w:hAnsi="宋体" w:eastAsia="宋体" w:cs="宋体"/>
                <w:color w:val="000000"/>
                <w:sz w:val="21"/>
                <w:szCs w:val="21"/>
              </w:rPr>
              <w:t>1</w:t>
            </w:r>
            <w:r>
              <w:rPr>
                <w:rFonts w:hint="eastAsia" w:ascii="宋体" w:hAnsi="宋体" w:eastAsia="宋体" w:cs="宋体"/>
                <w:color w:val="000000"/>
                <w:sz w:val="21"/>
                <w:szCs w:val="21"/>
              </w:rPr>
              <w:t>名。</w:t>
            </w:r>
          </w:p>
          <w:p>
            <w:pPr>
              <w:spacing w:line="276" w:lineRule="auto"/>
              <w:rPr>
                <w:color w:val="FF0000"/>
                <w:sz w:val="24"/>
              </w:rPr>
            </w:pPr>
            <w:r>
              <w:rPr>
                <w:rFonts w:hint="eastAsia" w:ascii="宋体" w:hAnsi="宋体" w:eastAsia="宋体" w:cs="宋体"/>
                <w:color w:val="000000"/>
                <w:sz w:val="21"/>
                <w:szCs w:val="21"/>
              </w:rPr>
              <w:t>6.学校荣获上海市安全文明校园、上海市绿色学校称号。</w:t>
            </w: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r>
              <w:rPr>
                <w:rFonts w:ascii="仿宋" w:hAnsi="仿宋" w:eastAsia="仿宋" w:cs="仿宋"/>
                <w:sz w:val="21"/>
                <w:szCs w:val="21"/>
              </w:rPr>
              <w:t>1</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Pr>
          <w:p>
            <w:r>
              <w:rPr>
                <w:rFonts w:ascii="仿宋" w:hAnsi="仿宋" w:eastAsia="仿宋" w:cs="仿宋"/>
                <w:sz w:val="21"/>
                <w:szCs w:val="21"/>
              </w:rPr>
              <w:t>5</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795"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p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pPr>
              <w:rPr>
                <w:rFonts w:eastAsia="宋体"/>
              </w:rPr>
            </w:pPr>
            <w:r>
              <w:rPr>
                <w:rFonts w:eastAsia="宋体"/>
              </w:rPr>
              <w:t>4</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1185"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B2</w:t>
            </w:r>
          </w:p>
          <w:p>
            <w:pPr>
              <w:spacing w:line="327" w:lineRule="auto"/>
              <w:jc w:val="center"/>
            </w:pPr>
            <w:r>
              <w:rPr>
                <w:rFonts w:ascii="仿宋" w:hAnsi="仿宋" w:eastAsia="仿宋" w:cs="仿宋"/>
                <w:b/>
                <w:sz w:val="21"/>
                <w:szCs w:val="21"/>
              </w:rPr>
              <w:t>经费管理4</w:t>
            </w: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C4</w:t>
            </w:r>
          </w:p>
          <w:p>
            <w:pPr>
              <w:spacing w:line="327" w:lineRule="auto"/>
              <w:jc w:val="center"/>
            </w:pPr>
            <w:r>
              <w:rPr>
                <w:rFonts w:ascii="仿宋" w:hAnsi="仿宋" w:eastAsia="仿宋" w:cs="仿宋"/>
                <w:b/>
                <w:sz w:val="21"/>
                <w:szCs w:val="21"/>
              </w:rPr>
              <w:t>经费管理规范4</w:t>
            </w:r>
          </w:p>
        </w:tc>
        <w:tc>
          <w:tcPr>
            <w:tcW w:w="364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pPr>
            <w:r>
              <w:rPr>
                <w:rFonts w:ascii="仿宋" w:hAnsi="仿宋" w:eastAsia="仿宋" w:cs="仿宋"/>
                <w:sz w:val="21"/>
                <w:szCs w:val="21"/>
              </w:rPr>
              <w:t>1.严格按照市教委有关经费管理办法规范、合理使用托管经费（2）</w:t>
            </w:r>
          </w:p>
          <w:p>
            <w:pPr>
              <w:spacing w:line="327" w:lineRule="auto"/>
            </w:pPr>
            <w:r>
              <w:rPr>
                <w:rFonts w:ascii="仿宋" w:hAnsi="仿宋" w:eastAsia="仿宋" w:cs="仿宋"/>
                <w:sz w:val="21"/>
                <w:szCs w:val="21"/>
              </w:rPr>
              <w:t>2.托管经费及时到位，预算执行率较高（2）</w:t>
            </w:r>
          </w:p>
        </w:tc>
        <w:tc>
          <w:tcPr>
            <w:tcW w:w="60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color w:val="000000"/>
                <w:sz w:val="21"/>
                <w:szCs w:val="21"/>
              </w:rPr>
            </w:pPr>
            <w:r>
              <w:rPr>
                <w:rFonts w:hint="eastAsia" w:ascii="宋体" w:hAnsi="宋体" w:eastAsia="宋体" w:cs="宋体"/>
                <w:color w:val="000000"/>
                <w:sz w:val="21"/>
                <w:szCs w:val="21"/>
              </w:rPr>
              <w:t>1.托管经费存入受援学校专用账户，中标后，转入支援方账户，支援方将经费存入教委规定的学杂费专用账户，根据托管经费使用相关规定，制定经费使用预算报告，交托管会审核，经费在双方法人盖章后使用。每年有结算报告，交托管委员会审核。</w:t>
            </w:r>
          </w:p>
          <w:p>
            <w:pPr>
              <w:spacing w:line="276" w:lineRule="auto"/>
              <w:rPr>
                <w:rFonts w:ascii="宋体" w:hAnsi="宋体" w:eastAsia="宋体" w:cs="宋体"/>
                <w:color w:val="000000"/>
                <w:sz w:val="21"/>
                <w:szCs w:val="21"/>
              </w:rPr>
            </w:pPr>
            <w:r>
              <w:rPr>
                <w:rFonts w:hint="eastAsia" w:ascii="宋体" w:hAnsi="宋体" w:eastAsia="宋体" w:cs="宋体"/>
                <w:color w:val="000000"/>
                <w:sz w:val="21"/>
                <w:szCs w:val="21"/>
              </w:rPr>
              <w:t>2.经费使用严格按市教委有关规定执行，严格按财务制度办理，经费使用明细账，拨付流程规范、手续完备。</w:t>
            </w:r>
          </w:p>
          <w:p>
            <w:pPr>
              <w:spacing w:line="276" w:lineRule="auto"/>
              <w:rPr>
                <w:rFonts w:ascii="宋体" w:hAnsi="宋体" w:eastAsia="宋体" w:cs="宋体"/>
                <w:color w:val="000000"/>
                <w:sz w:val="21"/>
                <w:szCs w:val="21"/>
              </w:rPr>
            </w:pPr>
            <w:r>
              <w:rPr>
                <w:rFonts w:hint="eastAsia" w:ascii="宋体" w:hAnsi="宋体" w:eastAsia="宋体" w:cs="宋体"/>
                <w:color w:val="000000"/>
                <w:sz w:val="21"/>
                <w:szCs w:val="21"/>
              </w:rPr>
              <w:t>3.经费由专人负责管理，确保经费规范合理使用，发挥经费最大效益。</w:t>
            </w:r>
          </w:p>
          <w:p>
            <w:pPr>
              <w:spacing w:line="276" w:lineRule="auto"/>
              <w:rPr>
                <w:rFonts w:ascii="宋体" w:hAnsi="宋体" w:eastAsia="宋体" w:cs="宋体"/>
                <w:color w:val="000000"/>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p>
            <w:pPr>
              <w:tabs>
                <w:tab w:val="left" w:pos="492"/>
              </w:tabs>
            </w:pPr>
            <w:r>
              <w:tab/>
            </w:r>
          </w:p>
          <w:p>
            <w:r>
              <w:rPr>
                <w:rFonts w:ascii="仿宋" w:hAnsi="仿宋" w:eastAsia="仿宋" w:cs="仿宋"/>
                <w:b/>
                <w:sz w:val="21"/>
                <w:szCs w:val="21"/>
              </w:rPr>
              <w:t>2</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r>
              <w:rPr>
                <w:rFonts w:ascii="仿宋" w:hAnsi="仿宋" w:eastAsia="仿宋" w:cs="仿宋"/>
                <w:b/>
                <w:sz w:val="21"/>
                <w:szCs w:val="21"/>
              </w:rPr>
              <w:t>4</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rPr>
                <w:rFonts w:hint="eastAsia" w:eastAsia="宋体"/>
                <w:lang w:val="en-US" w:eastAsia="zh-CN"/>
              </w:rPr>
            </w:pPr>
            <w:r>
              <w:rPr>
                <w:rFonts w:hint="eastAsia" w:eastAsia="宋体"/>
                <w:lang w:val="en-US" w:eastAsia="zh-CN"/>
              </w:rPr>
              <w:t>4</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1185"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p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r>
              <w:rPr>
                <w:rFonts w:ascii="仿宋" w:hAnsi="仿宋" w:eastAsia="仿宋" w:cs="仿宋"/>
                <w:b/>
                <w:sz w:val="21"/>
                <w:szCs w:val="21"/>
              </w:rPr>
              <w:t>2</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795" w:hRule="atLeast"/>
          <w:jc w:val="center"/>
        </w:trPr>
        <w:tc>
          <w:tcPr>
            <w:tcW w:w="555" w:type="dxa"/>
            <w:vMerge w:val="restart"/>
            <w:tcBorders>
              <w:top w:val="single" w:color="000000" w:sz="8" w:space="0"/>
              <w:left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A2</w:t>
            </w:r>
          </w:p>
          <w:p>
            <w:pPr>
              <w:spacing w:line="327" w:lineRule="auto"/>
              <w:jc w:val="center"/>
            </w:pPr>
            <w:r>
              <w:rPr>
                <w:rFonts w:ascii="仿宋" w:hAnsi="仿宋" w:eastAsia="仿宋" w:cs="仿宋"/>
                <w:b/>
                <w:sz w:val="21"/>
                <w:szCs w:val="21"/>
              </w:rPr>
              <w:t>教育质量30</w:t>
            </w:r>
          </w:p>
        </w:tc>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B3</w:t>
            </w:r>
          </w:p>
          <w:p>
            <w:pPr>
              <w:spacing w:line="327" w:lineRule="auto"/>
              <w:jc w:val="center"/>
            </w:pPr>
            <w:r>
              <w:rPr>
                <w:rFonts w:ascii="仿宋" w:hAnsi="仿宋" w:eastAsia="仿宋" w:cs="仿宋"/>
                <w:b/>
                <w:sz w:val="21"/>
                <w:szCs w:val="21"/>
              </w:rPr>
              <w:t>绿色指标15</w:t>
            </w: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C5</w:t>
            </w:r>
          </w:p>
          <w:p>
            <w:pPr>
              <w:spacing w:line="327" w:lineRule="auto"/>
              <w:jc w:val="center"/>
            </w:pPr>
            <w:r>
              <w:rPr>
                <w:rFonts w:ascii="仿宋" w:hAnsi="仿宋" w:eastAsia="仿宋" w:cs="仿宋"/>
                <w:b/>
                <w:sz w:val="21"/>
                <w:szCs w:val="21"/>
              </w:rPr>
              <w:t>总体水平7</w:t>
            </w:r>
          </w:p>
        </w:tc>
        <w:tc>
          <w:tcPr>
            <w:tcW w:w="364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color w:val="000000"/>
                <w:sz w:val="21"/>
                <w:szCs w:val="21"/>
              </w:rPr>
            </w:pPr>
            <w:r>
              <w:rPr>
                <w:rFonts w:ascii="宋体" w:hAnsi="宋体" w:eastAsia="宋体" w:cs="宋体"/>
                <w:color w:val="000000"/>
                <w:sz w:val="21"/>
                <w:szCs w:val="21"/>
              </w:rPr>
              <w:t>1.近两年受援校在区域教育质量监测中，绿色指标各项指数的总体水平与表现（5）</w:t>
            </w:r>
          </w:p>
          <w:p>
            <w:pPr>
              <w:spacing w:line="276" w:lineRule="auto"/>
              <w:rPr>
                <w:rFonts w:ascii="宋体" w:hAnsi="宋体" w:eastAsia="宋体" w:cs="宋体"/>
                <w:color w:val="000000"/>
                <w:sz w:val="21"/>
                <w:szCs w:val="21"/>
              </w:rPr>
            </w:pPr>
            <w:r>
              <w:rPr>
                <w:rFonts w:ascii="宋体" w:hAnsi="宋体" w:eastAsia="宋体" w:cs="宋体"/>
                <w:color w:val="000000"/>
                <w:sz w:val="21"/>
                <w:szCs w:val="21"/>
              </w:rPr>
              <w:t>2.学生学业负担状况（2）</w:t>
            </w:r>
          </w:p>
        </w:tc>
        <w:tc>
          <w:tcPr>
            <w:tcW w:w="60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color w:val="000000"/>
                <w:sz w:val="21"/>
                <w:szCs w:val="21"/>
              </w:rPr>
            </w:pPr>
            <w:r>
              <w:rPr>
                <w:rFonts w:hint="eastAsia" w:ascii="宋体" w:hAnsi="宋体" w:eastAsia="宋体" w:cs="宋体"/>
                <w:color w:val="000000"/>
                <w:sz w:val="21"/>
                <w:szCs w:val="21"/>
              </w:rPr>
              <w:t>1</w:t>
            </w:r>
            <w:r>
              <w:rPr>
                <w:rFonts w:ascii="宋体" w:hAnsi="宋体" w:eastAsia="宋体" w:cs="宋体"/>
                <w:color w:val="000000"/>
                <w:sz w:val="21"/>
                <w:szCs w:val="21"/>
              </w:rPr>
              <w:t>.</w:t>
            </w:r>
            <w:r>
              <w:rPr>
                <w:rFonts w:hint="eastAsia" w:ascii="宋体" w:hAnsi="宋体" w:eastAsia="宋体" w:cs="宋体"/>
                <w:color w:val="000000"/>
                <w:sz w:val="21"/>
                <w:szCs w:val="21"/>
              </w:rPr>
              <w:t>202</w:t>
            </w:r>
            <w:r>
              <w:rPr>
                <w:rFonts w:ascii="宋体" w:hAnsi="宋体" w:eastAsia="宋体" w:cs="宋体"/>
                <w:color w:val="000000"/>
                <w:sz w:val="21"/>
                <w:szCs w:val="21"/>
              </w:rPr>
              <w:t>1</w:t>
            </w:r>
            <w:r>
              <w:rPr>
                <w:rFonts w:hint="eastAsia" w:ascii="宋体" w:hAnsi="宋体" w:eastAsia="宋体" w:cs="宋体"/>
                <w:color w:val="000000"/>
                <w:sz w:val="21"/>
                <w:szCs w:val="21"/>
              </w:rPr>
              <w:t>年学校绿色指标测试评价报告中，一级指标：学习动力与对学校的认同度基本与市、区指标持平，其中学习动机高于市平均；一级指标：学生负担与压力基本与区持平，学习压力低于区平均；一级指标：学生学业水平指数、学生身心健康指数落后市、区，尤其是 “高层次思维能力”“心理健康”低于区平均水平；一级指标教师课程领导力中教学方式与区持平，教学理念学业评价低于区平均；校长课程领导力中课程规划与市持平，课程评价与区区持平，课程实施低于市、区水平；教育公平指数与区持平</w:t>
            </w:r>
            <w:r>
              <w:rPr>
                <w:rFonts w:ascii="宋体" w:hAnsi="宋体" w:eastAsia="宋体" w:cs="宋体"/>
                <w:color w:val="000000"/>
                <w:sz w:val="21"/>
                <w:szCs w:val="21"/>
              </w:rPr>
              <w:t xml:space="preserve"> </w:t>
            </w:r>
          </w:p>
          <w:p>
            <w:pPr>
              <w:spacing w:line="276" w:lineRule="auto"/>
              <w:rPr>
                <w:rFonts w:ascii="宋体" w:hAnsi="宋体" w:eastAsia="宋体" w:cs="宋体"/>
                <w:color w:val="000000"/>
                <w:sz w:val="21"/>
                <w:szCs w:val="21"/>
              </w:rPr>
            </w:pPr>
            <w:r>
              <w:rPr>
                <w:rFonts w:hint="eastAsia" w:ascii="宋体" w:hAnsi="宋体" w:eastAsia="宋体" w:cs="宋体"/>
                <w:color w:val="000000"/>
                <w:sz w:val="21"/>
                <w:szCs w:val="21"/>
              </w:rPr>
              <w:t>2</w:t>
            </w:r>
            <w:r>
              <w:rPr>
                <w:rFonts w:ascii="宋体" w:hAnsi="宋体" w:eastAsia="宋体" w:cs="宋体"/>
                <w:color w:val="000000"/>
                <w:sz w:val="21"/>
                <w:szCs w:val="21"/>
              </w:rPr>
              <w:t>.</w:t>
            </w:r>
            <w:r>
              <w:rPr>
                <w:rFonts w:hint="eastAsia" w:ascii="宋体" w:hAnsi="宋体" w:eastAsia="宋体" w:cs="宋体"/>
                <w:color w:val="000000"/>
                <w:sz w:val="21"/>
                <w:szCs w:val="21"/>
              </w:rPr>
              <w:t>受援校学生学业负担与补课负担与区平均持平，反映学生的学习负担适中。</w:t>
            </w: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rPr>
                <w:rFonts w:hint="eastAsia" w:eastAsia="宋体"/>
                <w:lang w:eastAsia="zh-CN"/>
              </w:rPr>
            </w:pPr>
            <w:r>
              <w:rPr>
                <w:rFonts w:hint="eastAsia" w:ascii="仿宋" w:hAnsi="仿宋" w:eastAsia="仿宋" w:cs="仿宋"/>
                <w:b/>
                <w:sz w:val="21"/>
                <w:szCs w:val="21"/>
                <w:lang w:val="en-US" w:eastAsia="zh-CN"/>
              </w:rPr>
              <w:t>5</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rPr>
                <w:rFonts w:hint="eastAsia" w:eastAsia="宋体"/>
                <w:lang w:eastAsia="zh-CN"/>
              </w:rPr>
            </w:pPr>
            <w:r>
              <w:rPr>
                <w:rFonts w:hint="eastAsia" w:ascii="仿宋" w:hAnsi="仿宋" w:eastAsia="仿宋" w:cs="仿宋"/>
                <w:b/>
                <w:sz w:val="21"/>
                <w:szCs w:val="21"/>
                <w:lang w:val="en-US" w:eastAsia="zh-CN"/>
              </w:rPr>
              <w:t>7</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rPr>
                <w:rFonts w:hint="default" w:eastAsia="仿宋"/>
                <w:lang w:val="en-US" w:eastAsia="zh-CN"/>
              </w:rPr>
            </w:pPr>
            <w:r>
              <w:rPr>
                <w:rFonts w:hint="eastAsia" w:ascii="仿宋" w:hAnsi="仿宋" w:eastAsia="仿宋" w:cs="仿宋"/>
                <w:b/>
                <w:sz w:val="21"/>
                <w:szCs w:val="21"/>
                <w:lang w:val="en-US" w:eastAsia="zh-CN"/>
              </w:rPr>
              <w:t>15</w:t>
            </w:r>
          </w:p>
        </w:tc>
        <w:tc>
          <w:tcPr>
            <w:tcW w:w="840" w:type="dxa"/>
            <w:vMerge w:val="restart"/>
            <w:tcBorders>
              <w:top w:val="single" w:color="000000" w:sz="8" w:space="0"/>
              <w:left w:val="single" w:color="000000" w:sz="8" w:space="0"/>
              <w:right w:val="single" w:color="000000" w:sz="8" w:space="0"/>
            </w:tcBorders>
            <w:shd w:val="clear" w:color="auto" w:fill="auto"/>
          </w:tcPr>
          <w:p>
            <w:pPr>
              <w:spacing w:line="327" w:lineRule="auto"/>
              <w:rPr>
                <w:rFonts w:hint="default" w:eastAsia="宋体"/>
                <w:lang w:val="en-US" w:eastAsia="zh-CN"/>
              </w:rPr>
            </w:pPr>
            <w:r>
              <w:rPr>
                <w:rFonts w:hint="eastAsia" w:ascii="仿宋" w:hAnsi="仿宋" w:eastAsia="仿宋" w:cs="仿宋"/>
                <w:b/>
                <w:sz w:val="21"/>
                <w:szCs w:val="21"/>
                <w:lang w:val="en-US" w:eastAsia="zh-CN"/>
              </w:rPr>
              <w:t>30</w:t>
            </w: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795" w:hRule="atLeast"/>
          <w:jc w:val="center"/>
        </w:trPr>
        <w:tc>
          <w:tcPr>
            <w:tcW w:w="555" w:type="dxa"/>
            <w:vMerge w:val="continue"/>
            <w:tcBorders>
              <w:left w:val="single" w:color="000000" w:sz="8" w:space="0"/>
              <w:right w:val="single" w:color="000000" w:sz="8" w:space="0"/>
            </w:tcBorders>
            <w:shd w:val="clear" w:color="auto" w:fill="auto"/>
            <w:vAlign w:val="center"/>
          </w:tcPr>
          <w:p>
            <w:pPr>
              <w:spacing w:line="327" w:lineRule="auto"/>
              <w:jc w:val="center"/>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color w:val="17375E" w:themeColor="text2" w:themeShade="BF"/>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rPr>
                <w:rFonts w:hint="eastAsia" w:eastAsia="宋体"/>
                <w:lang w:eastAsia="zh-CN"/>
              </w:rPr>
            </w:pPr>
            <w:r>
              <w:rPr>
                <w:rFonts w:hint="eastAsia" w:ascii="仿宋" w:hAnsi="仿宋" w:eastAsia="仿宋" w:cs="仿宋"/>
                <w:b/>
                <w:sz w:val="21"/>
                <w:szCs w:val="21"/>
                <w:lang w:val="en-US" w:eastAsia="zh-CN"/>
              </w:rPr>
              <w:t>2</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c>
          <w:tcPr>
            <w:tcW w:w="840" w:type="dxa"/>
            <w:vMerge w:val="continue"/>
            <w:tcBorders>
              <w:left w:val="single" w:color="000000" w:sz="8" w:space="0"/>
              <w:right w:val="single" w:color="000000" w:sz="8" w:space="0"/>
            </w:tcBorders>
            <w:shd w:val="clear" w:color="auto" w:fill="auto"/>
          </w:tcPr>
          <w:p>
            <w:pPr>
              <w:spacing w:line="327" w:lineRule="auto"/>
            </w:p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795" w:hRule="atLeast"/>
          <w:jc w:val="center"/>
        </w:trPr>
        <w:tc>
          <w:tcPr>
            <w:tcW w:w="555" w:type="dxa"/>
            <w:vMerge w:val="continue"/>
            <w:tcBorders>
              <w:left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C6</w:t>
            </w:r>
          </w:p>
          <w:p>
            <w:pPr>
              <w:spacing w:line="327" w:lineRule="auto"/>
              <w:jc w:val="center"/>
            </w:pPr>
            <w:r>
              <w:rPr>
                <w:rFonts w:ascii="仿宋" w:hAnsi="仿宋" w:eastAsia="仿宋" w:cs="仿宋"/>
                <w:b/>
                <w:sz w:val="21"/>
                <w:szCs w:val="21"/>
              </w:rPr>
              <w:t>发展变化8</w:t>
            </w:r>
          </w:p>
        </w:tc>
        <w:tc>
          <w:tcPr>
            <w:tcW w:w="364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rPr>
                <w:rFonts w:ascii="仿宋" w:hAnsi="仿宋" w:eastAsia="仿宋" w:cs="仿宋"/>
                <w:sz w:val="21"/>
                <w:szCs w:val="21"/>
              </w:rPr>
            </w:pPr>
            <w:r>
              <w:rPr>
                <w:rFonts w:hint="eastAsia" w:ascii="仿宋" w:hAnsi="仿宋" w:eastAsia="仿宋" w:cs="仿宋"/>
                <w:sz w:val="21"/>
                <w:szCs w:val="21"/>
              </w:rPr>
              <w:t>1.</w:t>
            </w:r>
            <w:r>
              <w:rPr>
                <w:rFonts w:ascii="仿宋" w:hAnsi="仿宋" w:eastAsia="仿宋" w:cs="仿宋"/>
                <w:sz w:val="21"/>
                <w:szCs w:val="21"/>
              </w:rPr>
              <w:t>近两年受援校绿色指标各项指数的纵向变化及分析情况（5）</w:t>
            </w:r>
          </w:p>
          <w:p>
            <w:pPr>
              <w:spacing w:line="327" w:lineRule="auto"/>
            </w:pPr>
            <w:r>
              <w:rPr>
                <w:rFonts w:ascii="仿宋" w:hAnsi="仿宋" w:eastAsia="仿宋" w:cs="仿宋"/>
                <w:sz w:val="21"/>
                <w:szCs w:val="21"/>
              </w:rPr>
              <w:t>2.近两年学校基于绿色指标各项指数变化或区域教育质量监测情况采取的改进措施（3）</w:t>
            </w:r>
          </w:p>
        </w:tc>
        <w:tc>
          <w:tcPr>
            <w:tcW w:w="60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eastAsia="宋体" w:cs="宋体"/>
                <w:sz w:val="21"/>
                <w:szCs w:val="21"/>
              </w:rPr>
            </w:pPr>
            <w:r>
              <w:rPr>
                <w:rFonts w:hint="eastAsia" w:ascii="宋体" w:hAnsi="宋体" w:eastAsia="宋体" w:cs="宋体"/>
                <w:color w:val="000000"/>
                <w:sz w:val="21"/>
                <w:szCs w:val="21"/>
              </w:rPr>
              <w:t>1</w:t>
            </w:r>
            <w:r>
              <w:rPr>
                <w:rFonts w:ascii="宋体" w:hAnsi="宋体" w:eastAsia="宋体" w:cs="宋体"/>
                <w:color w:val="000000"/>
                <w:sz w:val="21"/>
                <w:szCs w:val="21"/>
              </w:rPr>
              <w:t>.20</w:t>
            </w:r>
            <w:r>
              <w:rPr>
                <w:rFonts w:hint="eastAsia" w:ascii="宋体" w:hAnsi="宋体" w:eastAsia="宋体" w:cs="宋体"/>
                <w:color w:val="000000"/>
                <w:sz w:val="21"/>
                <w:szCs w:val="21"/>
              </w:rPr>
              <w:t>21</w:t>
            </w:r>
            <w:r>
              <w:rPr>
                <w:rFonts w:ascii="宋体" w:hAnsi="宋体" w:eastAsia="宋体" w:cs="宋体"/>
                <w:color w:val="000000"/>
                <w:sz w:val="21"/>
                <w:szCs w:val="21"/>
              </w:rPr>
              <w:t>绿色指标</w:t>
            </w:r>
            <w:r>
              <w:rPr>
                <w:rFonts w:hint="eastAsia" w:ascii="宋体" w:hAnsi="宋体" w:eastAsia="宋体" w:cs="宋体"/>
                <w:color w:val="000000"/>
                <w:sz w:val="21"/>
                <w:szCs w:val="21"/>
              </w:rPr>
              <w:t>的测试分析可以看到，学生学习有一定的动力，但有压力感，学生高层次思维能力不足，心理健康须加强。同伴关系、师生关系比较好，但教师的教学理念与评价方式存在一定问题，课程领导力方面有课程规划，但在课程实施与评价方面有不足。近两年学生学习自信心足、学习有动力，基于课程标准的学生学业水平达成度较好，学业成绩每年有进步。高阶思维略有提升，进入市重点校比例逐年增加。学生身心健康，行为习惯良好，获</w:t>
            </w:r>
            <w:r>
              <w:rPr>
                <w:rFonts w:hint="eastAsia" w:ascii="宋体" w:hAnsi="宋体" w:eastAsia="宋体" w:cs="宋体"/>
                <w:sz w:val="21"/>
                <w:szCs w:val="21"/>
              </w:rPr>
              <w:t>青浦区三星级行为规范示范校。学校领导在课程领导力方面有课题研究，有推进计划，有实施措施；教师在研究教的过程中开始研究学生学习方式，课堂教学方式多元化了，评价以学生学科诊断数据为分析的依据，注重过程性评价，对智优生和学困生都有一定的激励，教与学的良性循环，取得了较好的教学效果。</w:t>
            </w:r>
          </w:p>
          <w:p>
            <w:pPr>
              <w:rPr>
                <w:rFonts w:ascii="宋体" w:hAnsi="宋体" w:eastAsia="宋体" w:cs="宋体"/>
                <w:color w:val="000000"/>
                <w:sz w:val="21"/>
                <w:szCs w:val="21"/>
              </w:rPr>
            </w:pPr>
            <w:r>
              <w:rPr>
                <w:rFonts w:hint="eastAsia" w:ascii="宋体" w:hAnsi="宋体" w:eastAsia="宋体" w:cs="宋体"/>
                <w:color w:val="000000"/>
                <w:sz w:val="21"/>
                <w:szCs w:val="21"/>
              </w:rPr>
              <w:t>2.改进措施：</w:t>
            </w:r>
          </w:p>
          <w:p>
            <w:pPr>
              <w:rPr>
                <w:rFonts w:ascii="宋体" w:hAnsi="宋体" w:eastAsia="宋体" w:cs="宋体"/>
                <w:color w:val="000000"/>
                <w:sz w:val="21"/>
                <w:szCs w:val="21"/>
              </w:rPr>
            </w:pPr>
            <w:r>
              <w:rPr>
                <w:rFonts w:hint="eastAsia" w:ascii="宋体" w:hAnsi="宋体" w:eastAsia="宋体" w:cs="宋体"/>
                <w:color w:val="000000"/>
                <w:sz w:val="21"/>
                <w:szCs w:val="21"/>
              </w:rPr>
              <w:t>(1）托管委员会根据托管方案把课程的实施落实到每个学科，每节课。提高课程的执行力。</w:t>
            </w:r>
          </w:p>
          <w:p>
            <w:pPr>
              <w:rPr>
                <w:rFonts w:ascii="宋体" w:hAnsi="宋体" w:eastAsia="宋体" w:cs="宋体"/>
                <w:color w:val="000000"/>
                <w:sz w:val="21"/>
                <w:szCs w:val="21"/>
              </w:rPr>
            </w:pPr>
            <w:r>
              <w:rPr>
                <w:rFonts w:ascii="宋体" w:hAnsi="宋体" w:eastAsia="宋体" w:cs="宋体"/>
                <w:color w:val="000000"/>
                <w:sz w:val="21"/>
                <w:szCs w:val="21"/>
              </w:rPr>
              <w:t>(2)</w:t>
            </w:r>
            <w:r>
              <w:rPr>
                <w:rFonts w:hint="eastAsia" w:ascii="宋体" w:hAnsi="宋体" w:eastAsia="宋体" w:cs="宋体"/>
                <w:color w:val="000000"/>
                <w:sz w:val="21"/>
                <w:szCs w:val="21"/>
              </w:rPr>
              <w:t>培训加强现代教学理念传递，名师专家进课堂；基地教师到重固中学借班上课，理论与课堂实践的结合，帮助教师转变观念与教学方式。</w:t>
            </w:r>
          </w:p>
          <w:p>
            <w:pPr>
              <w:rPr>
                <w:rFonts w:ascii="宋体" w:hAnsi="宋体" w:eastAsia="宋体" w:cs="宋体"/>
                <w:color w:val="000000"/>
                <w:sz w:val="21"/>
                <w:szCs w:val="21"/>
              </w:rPr>
            </w:pPr>
            <w:r>
              <w:rPr>
                <w:rFonts w:hint="eastAsia" w:ascii="宋体" w:hAnsi="宋体" w:eastAsia="宋体" w:cs="宋体"/>
                <w:color w:val="000000"/>
                <w:sz w:val="21"/>
                <w:szCs w:val="21"/>
              </w:rPr>
              <w:t>（3）通过学科诊断，监控课堂教学质量，用数据帮助教师分析学生学习情况，评价学生的优势与不足，评价方式的转变，帮助教师转变理念。</w:t>
            </w:r>
          </w:p>
          <w:p>
            <w:pPr>
              <w:rPr>
                <w:rFonts w:ascii="宋体" w:hAnsi="宋体" w:eastAsia="宋体" w:cs="宋体"/>
                <w:color w:val="000000"/>
                <w:sz w:val="21"/>
                <w:szCs w:val="21"/>
              </w:rPr>
            </w:pPr>
            <w:r>
              <w:rPr>
                <w:rFonts w:hint="eastAsia" w:ascii="宋体" w:hAnsi="宋体" w:eastAsia="宋体" w:cs="宋体"/>
                <w:color w:val="000000"/>
                <w:sz w:val="21"/>
                <w:szCs w:val="21"/>
              </w:rPr>
              <w:t>（4）开展分层教学，课内提问、例题讲解、作业设计各环节力求有层次，有针对性，形成了“以学定教”的“一图二表三单”教学各环节的层层方式落实，减轻学生的负担的同时提高智优生的学习难度与挑战，辅助学困生，激发了求知欲，成效明显，学生学业成绩逐年提高。</w:t>
            </w:r>
          </w:p>
          <w:p>
            <w:pPr>
              <w:rPr>
                <w:rFonts w:ascii="宋体" w:hAnsi="宋体" w:eastAsia="宋体" w:cs="宋体"/>
                <w:color w:val="000000"/>
                <w:sz w:val="21"/>
                <w:szCs w:val="21"/>
              </w:rPr>
            </w:pPr>
            <w:r>
              <w:rPr>
                <w:rFonts w:hint="eastAsia" w:ascii="宋体" w:hAnsi="宋体" w:eastAsia="宋体" w:cs="宋体"/>
                <w:color w:val="000000"/>
                <w:sz w:val="21"/>
                <w:szCs w:val="21"/>
              </w:rPr>
              <w:t>（</w:t>
            </w:r>
            <w:r>
              <w:rPr>
                <w:rFonts w:ascii="宋体" w:hAnsi="宋体" w:eastAsia="宋体" w:cs="宋体"/>
                <w:color w:val="000000"/>
                <w:sz w:val="21"/>
                <w:szCs w:val="21"/>
              </w:rPr>
              <w:t>5</w:t>
            </w:r>
            <w:r>
              <w:rPr>
                <w:rFonts w:hint="eastAsia" w:ascii="宋体" w:hAnsi="宋体" w:eastAsia="宋体" w:cs="宋体"/>
                <w:color w:val="000000"/>
                <w:sz w:val="21"/>
                <w:szCs w:val="21"/>
              </w:rPr>
              <w:t>）开展教师与学生心理健康指导，开展团体心理活动，提高教师与学生的心理素质。</w:t>
            </w:r>
          </w:p>
          <w:p>
            <w:pPr>
              <w:rPr>
                <w:rFonts w:ascii="宋体" w:hAnsi="宋体" w:eastAsia="宋体" w:cs="宋体"/>
                <w:color w:val="000000"/>
                <w:sz w:val="21"/>
                <w:szCs w:val="21"/>
              </w:rPr>
            </w:pPr>
            <w:r>
              <w:rPr>
                <w:rFonts w:hint="eastAsia" w:ascii="宋体" w:hAnsi="宋体" w:eastAsia="宋体" w:cs="宋体"/>
                <w:color w:val="000000"/>
                <w:sz w:val="21"/>
                <w:szCs w:val="21"/>
              </w:rPr>
              <w:t>（</w:t>
            </w:r>
            <w:r>
              <w:rPr>
                <w:rFonts w:ascii="宋体" w:hAnsi="宋体" w:eastAsia="宋体" w:cs="宋体"/>
                <w:color w:val="000000"/>
                <w:sz w:val="21"/>
                <w:szCs w:val="21"/>
              </w:rPr>
              <w:t>6</w:t>
            </w:r>
            <w:r>
              <w:rPr>
                <w:rFonts w:hint="eastAsia" w:ascii="宋体" w:hAnsi="宋体" w:eastAsia="宋体" w:cs="宋体"/>
                <w:color w:val="000000"/>
                <w:sz w:val="21"/>
                <w:szCs w:val="21"/>
              </w:rPr>
              <w:t>）名师基地校打通研修互助平台，有教学研究，有精彩事例分享，传递双新教育理念，通过优秀教师群体引领，带动受援校教师共同成长。</w:t>
            </w:r>
          </w:p>
          <w:p>
            <w:pPr>
              <w:rPr>
                <w:rFonts w:ascii="宋体" w:hAnsi="宋体" w:eastAsia="宋体" w:cs="宋体"/>
                <w:color w:val="000000"/>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pPr>
              <w:rPr>
                <w:rFonts w:hint="eastAsia" w:eastAsia="宋体"/>
                <w:lang w:val="en-US" w:eastAsia="zh-CN"/>
              </w:rPr>
            </w:pPr>
            <w:r>
              <w:rPr>
                <w:rFonts w:hint="eastAsia" w:eastAsia="宋体"/>
                <w:lang w:val="en-US" w:eastAsia="zh-CN"/>
              </w:rPr>
              <w:t>5</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Pr>
          <w:p>
            <w:pPr>
              <w:rPr>
                <w:rFonts w:hint="eastAsia" w:eastAsia="宋体"/>
                <w:lang w:eastAsia="zh-CN"/>
              </w:rPr>
            </w:pPr>
            <w:r>
              <w:rPr>
                <w:rFonts w:hint="eastAsia" w:ascii="仿宋" w:hAnsi="仿宋" w:eastAsia="仿宋" w:cs="仿宋"/>
                <w:b/>
                <w:sz w:val="21"/>
                <w:szCs w:val="21"/>
                <w:lang w:val="en-US" w:eastAsia="zh-CN"/>
              </w:rPr>
              <w:t>8</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left w:val="single" w:color="000000" w:sz="8" w:space="0"/>
              <w:right w:val="single" w:color="000000" w:sz="8" w:space="0"/>
            </w:tcBorders>
            <w:shd w:val="clear" w:color="auto" w:fill="auto"/>
          </w:tc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795" w:hRule="atLeast"/>
          <w:jc w:val="center"/>
        </w:trPr>
        <w:tc>
          <w:tcPr>
            <w:tcW w:w="555" w:type="dxa"/>
            <w:vMerge w:val="continue"/>
            <w:tcBorders>
              <w:left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p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color w:val="17375E" w:themeColor="text2" w:themeShade="BF"/>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pPr>
              <w:rPr>
                <w:rFonts w:hint="eastAsia" w:eastAsia="宋体"/>
                <w:lang w:val="en-US" w:eastAsia="zh-CN"/>
              </w:rPr>
            </w:pPr>
            <w:r>
              <w:rPr>
                <w:rFonts w:hint="eastAsia" w:eastAsia="宋体"/>
                <w:lang w:val="en-US" w:eastAsia="zh-CN"/>
              </w:rPr>
              <w:t>3</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left w:val="single" w:color="000000" w:sz="8" w:space="0"/>
              <w:right w:val="single" w:color="000000" w:sz="8" w:space="0"/>
            </w:tcBorders>
            <w:shd w:val="clear" w:color="auto" w:fill="auto"/>
          </w:tc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1902" w:hRule="atLeast"/>
          <w:jc w:val="center"/>
        </w:trPr>
        <w:tc>
          <w:tcPr>
            <w:tcW w:w="555" w:type="dxa"/>
            <w:vMerge w:val="continue"/>
            <w:tcBorders>
              <w:left w:val="single" w:color="000000" w:sz="8" w:space="0"/>
              <w:right w:val="single" w:color="000000" w:sz="8" w:space="0"/>
            </w:tcBorders>
            <w:shd w:val="clear" w:color="auto" w:fill="auto"/>
            <w:vAlign w:val="center"/>
          </w:tcPr>
          <w:p>
            <w:pPr>
              <w:jc w:val="left"/>
            </w:pPr>
          </w:p>
        </w:tc>
        <w:tc>
          <w:tcPr>
            <w:tcW w:w="555" w:type="dxa"/>
            <w:vMerge w:val="restart"/>
            <w:tcBorders>
              <w:top w:val="single" w:color="000000" w:sz="8" w:space="0"/>
              <w:left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B4</w:t>
            </w:r>
          </w:p>
          <w:p>
            <w:pPr>
              <w:spacing w:line="327" w:lineRule="auto"/>
              <w:jc w:val="center"/>
            </w:pPr>
            <w:r>
              <w:rPr>
                <w:rFonts w:ascii="仿宋" w:hAnsi="仿宋" w:eastAsia="仿宋" w:cs="仿宋"/>
                <w:b/>
                <w:sz w:val="21"/>
                <w:szCs w:val="21"/>
              </w:rPr>
              <w:t>学生发展15</w:t>
            </w:r>
          </w:p>
        </w:tc>
        <w:tc>
          <w:tcPr>
            <w:tcW w:w="1155" w:type="dxa"/>
            <w:vMerge w:val="restart"/>
            <w:tcBorders>
              <w:top w:val="single" w:color="000000" w:sz="8" w:space="0"/>
              <w:left w:val="single" w:color="000000" w:sz="8" w:space="0"/>
              <w:right w:val="single" w:color="000000" w:sz="8" w:space="0"/>
            </w:tcBorders>
            <w:shd w:val="clear" w:color="auto" w:fill="auto"/>
            <w:vAlign w:val="center"/>
          </w:tcPr>
          <w:p>
            <w:pPr>
              <w:spacing w:line="327" w:lineRule="auto"/>
              <w:rPr>
                <w:rFonts w:ascii="仿宋" w:hAnsi="仿宋" w:eastAsia="仿宋" w:cs="仿宋"/>
                <w:sz w:val="21"/>
                <w:szCs w:val="21"/>
              </w:rPr>
            </w:pPr>
            <w:r>
              <w:rPr>
                <w:rFonts w:ascii="仿宋" w:hAnsi="仿宋" w:eastAsia="仿宋" w:cs="仿宋"/>
                <w:sz w:val="21"/>
                <w:szCs w:val="21"/>
              </w:rPr>
              <w:t>C7</w:t>
            </w:r>
          </w:p>
          <w:p>
            <w:pPr>
              <w:spacing w:line="327" w:lineRule="auto"/>
              <w:rPr>
                <w:rFonts w:ascii="仿宋" w:hAnsi="仿宋" w:eastAsia="仿宋" w:cs="仿宋"/>
                <w:sz w:val="21"/>
                <w:szCs w:val="21"/>
              </w:rPr>
            </w:pPr>
            <w:r>
              <w:rPr>
                <w:rFonts w:ascii="仿宋" w:hAnsi="仿宋" w:eastAsia="仿宋" w:cs="仿宋"/>
                <w:sz w:val="21"/>
                <w:szCs w:val="21"/>
              </w:rPr>
              <w:t>学业质量6</w:t>
            </w:r>
          </w:p>
        </w:tc>
        <w:tc>
          <w:tcPr>
            <w:tcW w:w="3643" w:type="dxa"/>
            <w:vMerge w:val="restart"/>
            <w:tcBorders>
              <w:top w:val="single" w:color="000000" w:sz="8" w:space="0"/>
              <w:left w:val="single" w:color="000000" w:sz="8" w:space="0"/>
              <w:right w:val="single" w:color="000000" w:sz="8" w:space="0"/>
            </w:tcBorders>
            <w:shd w:val="clear" w:color="auto" w:fill="auto"/>
            <w:vAlign w:val="center"/>
          </w:tcPr>
          <w:p>
            <w:pPr>
              <w:tabs>
                <w:tab w:val="left" w:pos="450"/>
              </w:tabs>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w:t>
            </w:r>
            <w:r>
              <w:rPr>
                <w:rFonts w:ascii="宋体" w:hAnsi="宋体" w:eastAsia="宋体" w:cs="宋体"/>
                <w:color w:val="000000" w:themeColor="text1"/>
                <w:sz w:val="21"/>
                <w:szCs w:val="21"/>
                <w14:textFill>
                  <w14:solidFill>
                    <w14:schemeClr w14:val="tx1"/>
                  </w14:solidFill>
                </w14:textFill>
              </w:rPr>
              <w:t>托管三年来，各年级学生数量、生源结构等变化情况（2）</w:t>
            </w:r>
          </w:p>
          <w:p>
            <w:pPr>
              <w:tabs>
                <w:tab w:val="left" w:pos="450"/>
              </w:tabs>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2.近两年各年级的学科优良率、及格率，以及毕业生的合格率情况（初中2，小学4）</w:t>
            </w:r>
            <w:r>
              <w:rPr>
                <w:rFonts w:hint="eastAsia" w:ascii="宋体" w:hAnsi="宋体" w:eastAsia="宋体" w:cs="宋体"/>
                <w:color w:val="000000" w:themeColor="text1"/>
                <w:sz w:val="21"/>
                <w:szCs w:val="21"/>
                <w14:textFill>
                  <w14:solidFill>
                    <w14:schemeClr w14:val="tx1"/>
                  </w14:solidFill>
                </w14:textFill>
              </w:rPr>
              <w:t>写八、九年级学科情况</w:t>
            </w:r>
          </w:p>
          <w:p>
            <w:pPr>
              <w:tabs>
                <w:tab w:val="left" w:pos="450"/>
              </w:tabs>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3.初中阶段，托管以来市实验性示范性高中名额分配到校计划完成情况（初中2，小学0）</w:t>
            </w:r>
          </w:p>
        </w:tc>
        <w:tc>
          <w:tcPr>
            <w:tcW w:w="6077" w:type="dxa"/>
            <w:vMerge w:val="restart"/>
            <w:tcBorders>
              <w:top w:val="single" w:color="000000" w:sz="8" w:space="0"/>
              <w:left w:val="single" w:color="000000" w:sz="8" w:space="0"/>
              <w:right w:val="single" w:color="000000" w:sz="8" w:space="0"/>
            </w:tcBorders>
            <w:shd w:val="clear" w:color="auto" w:fill="auto"/>
            <w:vAlign w:val="center"/>
          </w:tcPr>
          <w:p>
            <w:pPr>
              <w:tabs>
                <w:tab w:val="left" w:pos="450"/>
              </w:tabs>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1.2021学年，学校共480人，沪籍学生146人，非沪籍学生占比69.58%；</w:t>
            </w:r>
          </w:p>
          <w:p>
            <w:pPr>
              <w:tabs>
                <w:tab w:val="left" w:pos="450"/>
              </w:tabs>
              <w:ind w:firstLine="210" w:firstLineChars="1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2022学年，学校共506人，沪籍学生132人，非沪籍学生占比73.91%；</w:t>
            </w:r>
          </w:p>
          <w:p>
            <w:pPr>
              <w:tabs>
                <w:tab w:val="left" w:pos="450"/>
              </w:tabs>
              <w:ind w:firstLine="210" w:firstLineChars="1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2023学年，学校共648人，沪籍学生151人，非沪籍学生占比76.7%。沪籍学生有所增加，非沪籍学生逐年上升。</w:t>
            </w:r>
          </w:p>
          <w:p>
            <w:pPr>
              <w:tabs>
                <w:tab w:val="left" w:pos="450"/>
              </w:tabs>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2.“双减”政策后，区质量监控中心取消了各类摸底考试，以中考为例，三年来毕业生学业成绩逐年得到提升。</w:t>
            </w:r>
          </w:p>
          <w:p>
            <w:pPr>
              <w:tabs>
                <w:tab w:val="left" w:pos="450"/>
              </w:tabs>
              <w:ind w:firstLine="210" w:firstLineChars="1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2021年中考，合格率87.27%，示范性高中录取率2</w:t>
            </w:r>
            <w:r>
              <w:rPr>
                <w:rFonts w:ascii="宋体" w:hAnsi="宋体" w:eastAsia="宋体" w:cs="宋体"/>
                <w:color w:val="000000" w:themeColor="text1"/>
                <w:sz w:val="21"/>
                <w:szCs w:val="21"/>
                <w14:textFill>
                  <w14:solidFill>
                    <w14:schemeClr w14:val="tx1"/>
                  </w14:solidFill>
                </w14:textFill>
              </w:rPr>
              <w:t>1.81</w:t>
            </w:r>
            <w:r>
              <w:rPr>
                <w:rFonts w:hint="eastAsia" w:ascii="宋体" w:hAnsi="宋体" w:eastAsia="宋体" w:cs="宋体"/>
                <w:color w:val="000000" w:themeColor="text1"/>
                <w:sz w:val="21"/>
                <w:szCs w:val="21"/>
                <w14:textFill>
                  <w14:solidFill>
                    <w14:schemeClr w14:val="tx1"/>
                  </w14:solidFill>
                </w14:textFill>
              </w:rPr>
              <w:t>%，普高达线率49.09%；</w:t>
            </w:r>
          </w:p>
          <w:p>
            <w:pPr>
              <w:tabs>
                <w:tab w:val="left" w:pos="450"/>
              </w:tabs>
              <w:ind w:firstLine="210" w:firstLineChars="1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2022年中考，合格率93.15%，示范性高中录取率2</w:t>
            </w:r>
            <w:r>
              <w:rPr>
                <w:rFonts w:ascii="宋体" w:hAnsi="宋体" w:eastAsia="宋体" w:cs="宋体"/>
                <w:color w:val="000000" w:themeColor="text1"/>
                <w:sz w:val="21"/>
                <w:szCs w:val="21"/>
                <w14:textFill>
                  <w14:solidFill>
                    <w14:schemeClr w14:val="tx1"/>
                  </w14:solidFill>
                </w14:textFill>
              </w:rPr>
              <w:t>3.29</w:t>
            </w:r>
            <w:r>
              <w:rPr>
                <w:rFonts w:hint="eastAsia" w:ascii="宋体" w:hAnsi="宋体" w:eastAsia="宋体" w:cs="宋体"/>
                <w:color w:val="000000" w:themeColor="text1"/>
                <w:sz w:val="21"/>
                <w:szCs w:val="21"/>
                <w14:textFill>
                  <w14:solidFill>
                    <w14:schemeClr w14:val="tx1"/>
                  </w14:solidFill>
                </w14:textFill>
              </w:rPr>
              <w:t>%，普高达线率56.16%。学科优良率、及格率和毕业生的合格率进步明显。</w:t>
            </w:r>
          </w:p>
          <w:p>
            <w:pPr>
              <w:tabs>
                <w:tab w:val="left" w:pos="450"/>
              </w:tabs>
              <w:ind w:firstLine="210" w:firstLineChars="1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2023中考，合格率9</w:t>
            </w:r>
            <w:r>
              <w:rPr>
                <w:rFonts w:ascii="宋体" w:hAnsi="宋体" w:eastAsia="宋体" w:cs="宋体"/>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w:t>
            </w:r>
            <w:r>
              <w:rPr>
                <w:rFonts w:ascii="宋体" w:hAnsi="宋体" w:eastAsia="宋体" w:cs="宋体"/>
                <w:color w:val="000000" w:themeColor="text1"/>
                <w:sz w:val="21"/>
                <w:szCs w:val="21"/>
                <w14:textFill>
                  <w14:solidFill>
                    <w14:schemeClr w14:val="tx1"/>
                  </w14:solidFill>
                </w14:textFill>
              </w:rPr>
              <w:t>23</w:t>
            </w:r>
            <w:r>
              <w:rPr>
                <w:rFonts w:hint="eastAsia" w:ascii="宋体" w:hAnsi="宋体" w:eastAsia="宋体" w:cs="宋体"/>
                <w:color w:val="000000" w:themeColor="text1"/>
                <w:sz w:val="21"/>
                <w:szCs w:val="21"/>
                <w14:textFill>
                  <w14:solidFill>
                    <w14:schemeClr w14:val="tx1"/>
                  </w14:solidFill>
                </w14:textFill>
              </w:rPr>
              <w:t>%，示范性高中录取率3</w:t>
            </w:r>
            <w:r>
              <w:rPr>
                <w:rFonts w:ascii="宋体" w:hAnsi="宋体" w:eastAsia="宋体" w:cs="宋体"/>
                <w:color w:val="000000" w:themeColor="text1"/>
                <w:sz w:val="21"/>
                <w:szCs w:val="21"/>
                <w14:textFill>
                  <w14:solidFill>
                    <w14:schemeClr w14:val="tx1"/>
                  </w14:solidFill>
                </w14:textFill>
              </w:rPr>
              <w:t>0.77</w:t>
            </w:r>
            <w:r>
              <w:rPr>
                <w:rFonts w:hint="eastAsia" w:ascii="宋体" w:hAnsi="宋体" w:eastAsia="宋体" w:cs="宋体"/>
                <w:color w:val="000000" w:themeColor="text1"/>
                <w:sz w:val="21"/>
                <w:szCs w:val="21"/>
                <w14:textFill>
                  <w14:solidFill>
                    <w14:schemeClr w14:val="tx1"/>
                  </w14:solidFill>
                </w14:textFill>
              </w:rPr>
              <w:t>%，优良率提升更大。</w:t>
            </w:r>
          </w:p>
          <w:p>
            <w:pPr>
              <w:tabs>
                <w:tab w:val="left" w:pos="450"/>
              </w:tabs>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3.托管以来实验性示范性高中名额分配到校计划学校全部完成。</w:t>
            </w:r>
          </w:p>
          <w:p>
            <w:pPr>
              <w:tabs>
                <w:tab w:val="left" w:pos="450"/>
              </w:tabs>
              <w:ind w:firstLine="210" w:firstLineChars="1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2022年中考，名额分配到校名额11（复旦附中1，复旦附中青分2，青中4，朱中4），实际录取示范性高中1</w:t>
            </w:r>
            <w:r>
              <w:rPr>
                <w:rFonts w:ascii="宋体" w:hAnsi="宋体" w:eastAsia="宋体" w:cs="宋体"/>
                <w:color w:val="000000" w:themeColor="text1"/>
                <w:sz w:val="21"/>
                <w:szCs w:val="21"/>
                <w14:textFill>
                  <w14:solidFill>
                    <w14:schemeClr w14:val="tx1"/>
                  </w14:solidFill>
                </w14:textFill>
              </w:rPr>
              <w:t>7</w:t>
            </w:r>
            <w:r>
              <w:rPr>
                <w:rFonts w:hint="eastAsia" w:ascii="宋体" w:hAnsi="宋体" w:eastAsia="宋体" w:cs="宋体"/>
                <w:color w:val="000000" w:themeColor="text1"/>
                <w:sz w:val="21"/>
                <w:szCs w:val="21"/>
                <w14:textFill>
                  <w14:solidFill>
                    <w14:schemeClr w14:val="tx1"/>
                  </w14:solidFill>
                </w14:textFill>
              </w:rPr>
              <w:t>名。</w:t>
            </w:r>
          </w:p>
          <w:p>
            <w:pPr>
              <w:tabs>
                <w:tab w:val="left" w:pos="450"/>
              </w:tabs>
              <w:ind w:firstLine="210" w:firstLineChars="10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2023年中考，名额分配到校名额7（复旦附中1名，青中3名，朱中3名），实际录取示范性高中1</w:t>
            </w:r>
            <w:r>
              <w:rPr>
                <w:rFonts w:ascii="宋体" w:hAnsi="宋体" w:eastAsia="宋体" w:cs="宋体"/>
                <w:color w:val="000000" w:themeColor="text1"/>
                <w:sz w:val="21"/>
                <w:szCs w:val="21"/>
                <w14:textFill>
                  <w14:solidFill>
                    <w14:schemeClr w14:val="tx1"/>
                  </w14:solidFill>
                </w14:textFill>
              </w:rPr>
              <w:t>6</w:t>
            </w:r>
            <w:r>
              <w:rPr>
                <w:rFonts w:hint="eastAsia" w:ascii="宋体" w:hAnsi="宋体" w:eastAsia="宋体" w:cs="宋体"/>
                <w:color w:val="000000" w:themeColor="text1"/>
                <w:sz w:val="21"/>
                <w:szCs w:val="21"/>
                <w14:textFill>
                  <w14:solidFill>
                    <w14:schemeClr w14:val="tx1"/>
                  </w14:solidFill>
                </w14:textFill>
              </w:rPr>
              <w:t>名。</w:t>
            </w: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r>
              <w:rPr>
                <w:rFonts w:ascii="仿宋" w:hAnsi="仿宋" w:eastAsia="仿宋" w:cs="仿宋"/>
                <w:b/>
                <w:sz w:val="21"/>
                <w:szCs w:val="21"/>
              </w:rPr>
              <w:t>2</w:t>
            </w:r>
          </w:p>
        </w:tc>
        <w:tc>
          <w:tcPr>
            <w:tcW w:w="840" w:type="dxa"/>
            <w:vMerge w:val="restart"/>
            <w:tcBorders>
              <w:top w:val="single" w:color="000000" w:sz="8" w:space="0"/>
              <w:left w:val="single" w:color="000000" w:sz="8" w:space="0"/>
              <w:right w:val="single" w:color="000000" w:sz="8" w:space="0"/>
            </w:tcBorders>
            <w:shd w:val="clear" w:color="auto" w:fill="auto"/>
          </w:tcPr>
          <w:p>
            <w:pPr>
              <w:spacing w:line="327" w:lineRule="auto"/>
              <w:rPr>
                <w:rFonts w:hint="eastAsia" w:eastAsia="宋体"/>
                <w:lang w:val="en-US" w:eastAsia="zh-CN"/>
              </w:rPr>
            </w:pPr>
            <w:r>
              <w:rPr>
                <w:rFonts w:hint="eastAsia" w:eastAsia="宋体"/>
                <w:lang w:val="en-US" w:eastAsia="zh-CN"/>
              </w:rPr>
              <w:t>6</w:t>
            </w:r>
          </w:p>
        </w:tc>
        <w:tc>
          <w:tcPr>
            <w:tcW w:w="840" w:type="dxa"/>
            <w:vMerge w:val="restart"/>
            <w:tcBorders>
              <w:top w:val="single" w:color="000000" w:sz="8" w:space="0"/>
              <w:left w:val="single" w:color="000000" w:sz="8" w:space="0"/>
              <w:right w:val="single" w:color="000000" w:sz="8" w:space="0"/>
            </w:tcBorders>
            <w:shd w:val="clear" w:color="auto" w:fill="auto"/>
          </w:tcPr>
          <w:p>
            <w:pPr>
              <w:spacing w:line="327" w:lineRule="auto"/>
              <w:rPr>
                <w:rFonts w:hint="eastAsia" w:eastAsia="仿宋"/>
                <w:lang w:eastAsia="zh-CN"/>
              </w:rPr>
            </w:pPr>
            <w:r>
              <w:rPr>
                <w:rFonts w:ascii="仿宋" w:hAnsi="仿宋" w:eastAsia="仿宋" w:cs="仿宋"/>
                <w:b/>
                <w:sz w:val="21"/>
                <w:szCs w:val="21"/>
              </w:rPr>
              <w:t>1</w:t>
            </w:r>
            <w:r>
              <w:rPr>
                <w:rFonts w:hint="eastAsia" w:ascii="仿宋" w:hAnsi="仿宋" w:eastAsia="仿宋" w:cs="仿宋"/>
                <w:b/>
                <w:sz w:val="21"/>
                <w:szCs w:val="21"/>
                <w:lang w:val="en-US" w:eastAsia="zh-CN"/>
              </w:rPr>
              <w:t>5</w:t>
            </w:r>
          </w:p>
        </w:tc>
        <w:tc>
          <w:tcPr>
            <w:tcW w:w="840" w:type="dxa"/>
            <w:vMerge w:val="continue"/>
            <w:tcBorders>
              <w:left w:val="single" w:color="000000" w:sz="8" w:space="0"/>
              <w:right w:val="single" w:color="000000" w:sz="8" w:space="0"/>
            </w:tcBorders>
            <w:shd w:val="clear" w:color="auto" w:fill="auto"/>
          </w:tcPr>
          <w:p>
            <w:pPr>
              <w:spacing w:line="327" w:lineRule="auto"/>
            </w:p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1901" w:hRule="atLeast"/>
          <w:jc w:val="center"/>
        </w:trPr>
        <w:tc>
          <w:tcPr>
            <w:tcW w:w="555" w:type="dxa"/>
            <w:vMerge w:val="continue"/>
            <w:tcBorders>
              <w:left w:val="single" w:color="000000" w:sz="8" w:space="0"/>
              <w:right w:val="single" w:color="000000" w:sz="8" w:space="0"/>
            </w:tcBorders>
            <w:shd w:val="clear" w:color="auto" w:fill="auto"/>
            <w:vAlign w:val="center"/>
          </w:tcPr>
          <w:p>
            <w:pPr>
              <w:jc w:val="left"/>
            </w:pPr>
          </w:p>
        </w:tc>
        <w:tc>
          <w:tcPr>
            <w:tcW w:w="555" w:type="dxa"/>
            <w:vMerge w:val="continue"/>
            <w:tcBorders>
              <w:left w:val="single" w:color="000000" w:sz="8" w:space="0"/>
              <w:right w:val="single" w:color="000000" w:sz="8" w:space="0"/>
            </w:tcBorders>
            <w:shd w:val="clear" w:color="auto" w:fill="auto"/>
            <w:vAlign w:val="center"/>
          </w:tcPr>
          <w:p>
            <w:pPr>
              <w:spacing w:line="327" w:lineRule="auto"/>
              <w:jc w:val="center"/>
              <w:rPr>
                <w:rFonts w:ascii="仿宋" w:hAnsi="仿宋" w:eastAsia="仿宋" w:cs="仿宋"/>
                <w:b/>
                <w:sz w:val="21"/>
                <w:szCs w:val="21"/>
              </w:rPr>
            </w:pPr>
          </w:p>
        </w:tc>
        <w:tc>
          <w:tcPr>
            <w:tcW w:w="1155" w:type="dxa"/>
            <w:vMerge w:val="continue"/>
            <w:tcBorders>
              <w:left w:val="single" w:color="000000" w:sz="8" w:space="0"/>
              <w:bottom w:val="single" w:color="000000" w:sz="8" w:space="0"/>
              <w:right w:val="single" w:color="000000" w:sz="8" w:space="0"/>
            </w:tcBorders>
            <w:shd w:val="clear" w:color="auto" w:fill="auto"/>
            <w:vAlign w:val="center"/>
          </w:tcPr>
          <w:p>
            <w:pPr>
              <w:spacing w:line="327" w:lineRule="auto"/>
              <w:rPr>
                <w:rFonts w:ascii="仿宋" w:hAnsi="仿宋" w:eastAsia="仿宋" w:cs="仿宋"/>
                <w:sz w:val="21"/>
                <w:szCs w:val="21"/>
              </w:rPr>
            </w:pPr>
          </w:p>
        </w:tc>
        <w:tc>
          <w:tcPr>
            <w:tcW w:w="3643" w:type="dxa"/>
            <w:vMerge w:val="continue"/>
            <w:tcBorders>
              <w:left w:val="single" w:color="000000" w:sz="8" w:space="0"/>
              <w:bottom w:val="single" w:color="000000" w:sz="8" w:space="0"/>
              <w:right w:val="single" w:color="000000" w:sz="8" w:space="0"/>
            </w:tcBorders>
            <w:shd w:val="clear" w:color="auto" w:fill="auto"/>
            <w:vAlign w:val="center"/>
          </w:tcPr>
          <w:p>
            <w:pPr>
              <w:spacing w:line="327" w:lineRule="auto"/>
              <w:rPr>
                <w:rFonts w:ascii="仿宋" w:hAnsi="仿宋" w:eastAsia="仿宋" w:cs="仿宋"/>
                <w:sz w:val="21"/>
                <w:szCs w:val="21"/>
              </w:rPr>
            </w:pPr>
          </w:p>
        </w:tc>
        <w:tc>
          <w:tcPr>
            <w:tcW w:w="6077" w:type="dxa"/>
            <w:vMerge w:val="continue"/>
            <w:tcBorders>
              <w:left w:val="single" w:color="000000" w:sz="8" w:space="0"/>
              <w:bottom w:val="single" w:color="000000" w:sz="8" w:space="0"/>
              <w:right w:val="single" w:color="000000" w:sz="8" w:space="0"/>
            </w:tcBorders>
            <w:shd w:val="clear" w:color="auto" w:fill="auto"/>
            <w:vAlign w:val="center"/>
          </w:tcPr>
          <w:p>
            <w:pPr>
              <w:tabs>
                <w:tab w:val="left" w:pos="450"/>
              </w:tabs>
              <w:rPr>
                <w:rFonts w:ascii="宋体" w:hAnsi="宋体" w:eastAsia="宋体" w:cs="宋体"/>
                <w:color w:val="17375E" w:themeColor="text2" w:themeShade="BF"/>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rPr>
                <w:rFonts w:hint="eastAsia" w:ascii="仿宋" w:hAnsi="仿宋" w:eastAsia="仿宋" w:cs="仿宋"/>
                <w:b/>
                <w:sz w:val="21"/>
                <w:szCs w:val="21"/>
                <w:lang w:val="en-US" w:eastAsia="zh-CN"/>
              </w:rPr>
            </w:pPr>
            <w:r>
              <w:rPr>
                <w:rFonts w:hint="eastAsia" w:ascii="仿宋" w:hAnsi="仿宋" w:eastAsia="仿宋" w:cs="仿宋"/>
                <w:b/>
                <w:sz w:val="21"/>
                <w:szCs w:val="21"/>
                <w:lang w:val="en-US" w:eastAsia="zh-CN"/>
              </w:rPr>
              <w:t>4</w:t>
            </w:r>
          </w:p>
        </w:tc>
        <w:tc>
          <w:tcPr>
            <w:tcW w:w="840" w:type="dxa"/>
            <w:vMerge w:val="continue"/>
            <w:tcBorders>
              <w:left w:val="single" w:color="000000" w:sz="8" w:space="0"/>
              <w:bottom w:val="single" w:color="000000" w:sz="8" w:space="0"/>
              <w:right w:val="single" w:color="000000" w:sz="8" w:space="0"/>
            </w:tcBorders>
            <w:shd w:val="clear" w:color="auto" w:fill="auto"/>
          </w:tcPr>
          <w:p>
            <w:pPr>
              <w:spacing w:line="327" w:lineRule="auto"/>
              <w:rPr>
                <w:rFonts w:ascii="仿宋" w:hAnsi="仿宋" w:eastAsia="仿宋" w:cs="仿宋"/>
                <w:b/>
                <w:sz w:val="21"/>
                <w:szCs w:val="21"/>
              </w:rPr>
            </w:pPr>
          </w:p>
        </w:tc>
        <w:tc>
          <w:tcPr>
            <w:tcW w:w="840" w:type="dxa"/>
            <w:vMerge w:val="continue"/>
            <w:tcBorders>
              <w:left w:val="single" w:color="000000" w:sz="8" w:space="0"/>
              <w:right w:val="single" w:color="000000" w:sz="8" w:space="0"/>
            </w:tcBorders>
            <w:shd w:val="clear" w:color="auto" w:fill="auto"/>
          </w:tcPr>
          <w:p>
            <w:pPr>
              <w:spacing w:line="327" w:lineRule="auto"/>
              <w:rPr>
                <w:rFonts w:ascii="仿宋" w:hAnsi="仿宋" w:eastAsia="仿宋" w:cs="仿宋"/>
                <w:b/>
                <w:sz w:val="21"/>
                <w:szCs w:val="21"/>
              </w:rPr>
            </w:pPr>
          </w:p>
        </w:tc>
        <w:tc>
          <w:tcPr>
            <w:tcW w:w="840" w:type="dxa"/>
            <w:vMerge w:val="continue"/>
            <w:tcBorders>
              <w:left w:val="single" w:color="000000" w:sz="8" w:space="0"/>
              <w:right w:val="single" w:color="000000" w:sz="8" w:space="0"/>
            </w:tcBorders>
            <w:shd w:val="clear" w:color="auto" w:fill="auto"/>
          </w:tcPr>
          <w:p>
            <w:pPr>
              <w:spacing w:line="327" w:lineRule="auto"/>
            </w:p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420" w:hRule="atLeast"/>
          <w:jc w:val="center"/>
        </w:trPr>
        <w:tc>
          <w:tcPr>
            <w:tcW w:w="555" w:type="dxa"/>
            <w:vMerge w:val="continue"/>
            <w:tcBorders>
              <w:left w:val="single" w:color="000000" w:sz="8" w:space="0"/>
              <w:right w:val="single" w:color="000000" w:sz="8" w:space="0"/>
            </w:tcBorders>
            <w:shd w:val="clear" w:color="auto" w:fill="auto"/>
            <w:vAlign w:val="center"/>
          </w:tcPr>
          <w:p>
            <w:pPr>
              <w:jc w:val="left"/>
            </w:pPr>
          </w:p>
        </w:tc>
        <w:tc>
          <w:tcPr>
            <w:tcW w:w="555" w:type="dxa"/>
            <w:vMerge w:val="continue"/>
            <w:tcBorders>
              <w:left w:val="single" w:color="000000" w:sz="8" w:space="0"/>
              <w:right w:val="single" w:color="000000" w:sz="8" w:space="0"/>
            </w:tcBorders>
            <w:shd w:val="clear" w:color="auto" w:fill="auto"/>
            <w:vAlign w:val="center"/>
          </w:tcPr>
          <w:p>
            <w:pPr>
              <w:jc w:val="left"/>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C8</w:t>
            </w:r>
          </w:p>
          <w:p>
            <w:pPr>
              <w:spacing w:line="327" w:lineRule="auto"/>
              <w:jc w:val="center"/>
            </w:pPr>
            <w:r>
              <w:rPr>
                <w:rFonts w:ascii="仿宋" w:hAnsi="仿宋" w:eastAsia="仿宋" w:cs="仿宋"/>
                <w:b/>
                <w:sz w:val="21"/>
                <w:szCs w:val="21"/>
              </w:rPr>
              <w:t>综合素质9</w:t>
            </w:r>
          </w:p>
        </w:tc>
        <w:tc>
          <w:tcPr>
            <w:tcW w:w="364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ind w:left="88" w:hanging="88"/>
            </w:pPr>
            <w:r>
              <w:rPr>
                <w:rFonts w:ascii="仿宋" w:hAnsi="仿宋" w:eastAsia="仿宋" w:cs="仿宋"/>
                <w:sz w:val="21"/>
                <w:szCs w:val="21"/>
              </w:rPr>
              <w:t>1.学生行为规范表现情况（1.5）</w:t>
            </w:r>
          </w:p>
          <w:p>
            <w:pPr>
              <w:spacing w:line="327" w:lineRule="auto"/>
              <w:ind w:left="88" w:hanging="88"/>
            </w:pPr>
            <w:r>
              <w:rPr>
                <w:rFonts w:ascii="仿宋" w:hAnsi="仿宋" w:eastAsia="仿宋" w:cs="仿宋"/>
                <w:sz w:val="21"/>
                <w:szCs w:val="21"/>
              </w:rPr>
              <w:t>2.学生心理健康教育工作落实情况（1.5）</w:t>
            </w:r>
          </w:p>
          <w:p>
            <w:pPr>
              <w:spacing w:line="327" w:lineRule="auto"/>
            </w:pPr>
            <w:r>
              <w:rPr>
                <w:rFonts w:ascii="仿宋" w:hAnsi="仿宋" w:eastAsia="仿宋" w:cs="仿宋"/>
                <w:sz w:val="21"/>
                <w:szCs w:val="21"/>
              </w:rPr>
              <w:t>3.学生体质健康监测达标情况，近视率、肥胖率情况等（1.5）</w:t>
            </w:r>
          </w:p>
          <w:p>
            <w:pPr>
              <w:spacing w:line="290" w:lineRule="auto"/>
            </w:pPr>
            <w:r>
              <w:rPr>
                <w:rFonts w:ascii="仿宋" w:hAnsi="仿宋" w:eastAsia="仿宋" w:cs="仿宋"/>
                <w:sz w:val="21"/>
                <w:szCs w:val="21"/>
              </w:rPr>
              <w:t>4.学生参加科技、艺术、体育、劳动，以及探究性学习、项目化学习等教育活动表现情况（4.5）</w:t>
            </w:r>
          </w:p>
        </w:tc>
        <w:tc>
          <w:tcPr>
            <w:tcW w:w="60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eastAsia="宋体" w:cs="宋体"/>
                <w:sz w:val="21"/>
                <w:szCs w:val="21"/>
              </w:rPr>
            </w:pPr>
            <w:r>
              <w:rPr>
                <w:rFonts w:hint="eastAsia" w:ascii="宋体" w:hAnsi="宋体" w:eastAsia="宋体" w:cs="宋体"/>
                <w:sz w:val="21"/>
                <w:szCs w:val="21"/>
              </w:rPr>
              <w:t>1. 重视学生行为规范养成教育，学生思想道德和行为习惯面貌良好。在校学生刑事案发率保持零记录，自主管理之星、文明学生、优秀队员、优秀集体大量涌现，良好的行为规范也促进了学生良好的学习习惯的形成，学校被评为青浦区三星级行为规范示范校。</w:t>
            </w:r>
          </w:p>
          <w:p>
            <w:pPr>
              <w:rPr>
                <w:rFonts w:ascii="宋体" w:hAnsi="宋体" w:eastAsia="宋体" w:cs="宋体"/>
                <w:sz w:val="21"/>
                <w:szCs w:val="21"/>
              </w:rPr>
            </w:pPr>
            <w:r>
              <w:rPr>
                <w:rFonts w:hint="eastAsia" w:ascii="宋体" w:hAnsi="宋体" w:eastAsia="宋体" w:cs="宋体"/>
                <w:sz w:val="21"/>
                <w:szCs w:val="21"/>
              </w:rPr>
              <w:t>2.学校加强对学生的心理健康教育，配备1名专职心理辅导教师，开放心理咨询室，并设有心理信箱和学校心理老师微信，组建具有危机干预机制的学校心理老师群组，开展心理健康教育活动。学校被评为上海市心理健康达标校。</w:t>
            </w:r>
          </w:p>
          <w:p>
            <w:pPr>
              <w:rPr>
                <w:rFonts w:ascii="宋体" w:hAnsi="宋体" w:eastAsia="宋体" w:cs="宋体"/>
                <w:sz w:val="21"/>
                <w:szCs w:val="21"/>
              </w:rPr>
            </w:pPr>
            <w:r>
              <w:rPr>
                <w:rFonts w:hint="eastAsia" w:ascii="宋体" w:hAnsi="宋体" w:eastAsia="宋体" w:cs="宋体"/>
                <w:sz w:val="21"/>
                <w:szCs w:val="21"/>
              </w:rPr>
              <w:t>3.严格落实《上海市中小学课程计划》，认真落实“三课、两操、两活动”，保证学生每天校园体育活动1小时。加强学生体育锻炼，学生体质健康标准测试的合格率为100%。加强对近视新发病率的控制，指导学生做好眼保健操、按时进行视力检查，发现问题及时干预。强化对新冠疫情和其他传染病的防控，无传染病情况发生。</w:t>
            </w:r>
          </w:p>
          <w:p>
            <w:pPr>
              <w:rPr>
                <w:rFonts w:ascii="宋体" w:hAnsi="宋体" w:eastAsia="宋体" w:cs="宋体"/>
                <w:sz w:val="21"/>
                <w:szCs w:val="21"/>
              </w:rPr>
            </w:pPr>
            <w:r>
              <w:rPr>
                <w:rFonts w:hint="eastAsia" w:ascii="宋体" w:hAnsi="宋体" w:eastAsia="宋体" w:cs="宋体"/>
                <w:sz w:val="21"/>
                <w:szCs w:val="21"/>
              </w:rPr>
              <w:t>4.2021学年学生体质体能测试，优秀率达17%，良好率达37.3%，及格率达41.5%，不及格率达4.15%。</w:t>
            </w:r>
          </w:p>
          <w:p>
            <w:pPr>
              <w:ind w:firstLine="210" w:firstLineChars="100"/>
              <w:rPr>
                <w:rFonts w:ascii="宋体" w:hAnsi="宋体" w:eastAsia="宋体" w:cs="宋体"/>
                <w:sz w:val="21"/>
                <w:szCs w:val="21"/>
              </w:rPr>
            </w:pPr>
            <w:r>
              <w:rPr>
                <w:rFonts w:hint="eastAsia" w:ascii="宋体" w:hAnsi="宋体" w:eastAsia="宋体" w:cs="宋体"/>
                <w:sz w:val="21"/>
                <w:szCs w:val="21"/>
              </w:rPr>
              <w:t>2022学年健康达标测试，优秀率10.25%，良好率36.6%，及格率48.74%，不及格率4.4%。近视率2021学年65.5%；2022学年60.46%。</w:t>
            </w:r>
          </w:p>
          <w:p>
            <w:pPr>
              <w:ind w:firstLine="210" w:firstLineChars="100"/>
              <w:rPr>
                <w:rFonts w:ascii="宋体" w:hAnsi="宋体" w:eastAsia="宋体" w:cs="宋体"/>
                <w:sz w:val="21"/>
                <w:szCs w:val="21"/>
              </w:rPr>
            </w:pPr>
            <w:r>
              <w:rPr>
                <w:rFonts w:hint="eastAsia" w:ascii="宋体" w:hAnsi="宋体" w:eastAsia="宋体" w:cs="宋体"/>
                <w:sz w:val="21"/>
                <w:szCs w:val="21"/>
              </w:rPr>
              <w:t>2023学年健康达标已经测试，但是区统计的成绩还未下达。</w:t>
            </w:r>
          </w:p>
          <w:p>
            <w:pPr>
              <w:rPr>
                <w:rFonts w:ascii="宋体" w:hAnsi="宋体" w:eastAsia="宋体" w:cs="宋体"/>
                <w:sz w:val="21"/>
                <w:szCs w:val="21"/>
              </w:rPr>
            </w:pPr>
            <w:r>
              <w:rPr>
                <w:rFonts w:hint="eastAsia" w:ascii="宋体" w:hAnsi="宋体" w:eastAsia="宋体" w:cs="宋体"/>
                <w:sz w:val="21"/>
                <w:szCs w:val="21"/>
              </w:rPr>
              <w:t xml:space="preserve"> 5.学校围绕新区针对艺术科技教育工作的精神，以学生发展为本，认真执行音乐、美术等教学的计划大纲，结合艺术科技课程标准，开全课程，开足课时，积极组织师生参加区、镇、校级各项艺体、科技活动并获得优异成绩。积极筹备、成功举办校园科技节、校园运动会、校园丰收节、六一主题集会、元旦文艺汇演等活动，学生综合素质得到显著提升。</w:t>
            </w:r>
          </w:p>
          <w:p>
            <w:pPr>
              <w:rPr>
                <w:rFonts w:ascii="宋体" w:hAnsi="宋体" w:eastAsia="宋体" w:cs="宋体"/>
                <w:sz w:val="21"/>
                <w:szCs w:val="21"/>
              </w:rPr>
            </w:pPr>
            <w:r>
              <w:rPr>
                <w:rFonts w:hint="eastAsia" w:ascii="宋体" w:hAnsi="宋体" w:eastAsia="宋体" w:cs="宋体"/>
                <w:sz w:val="21"/>
                <w:szCs w:val="21"/>
              </w:rPr>
              <w:t xml:space="preserve"> 6. 高度重视劳动教育，积极开展课题研究，“福泉耕读苑”劳动实践基地为依托，开展农耕体验活动，培养劳动意r培养劳动意识、激发劳动热情、锻炼劳动能力、提升劳动素养。</w:t>
            </w:r>
          </w:p>
          <w:p>
            <w:pPr>
              <w:rPr>
                <w:rFonts w:ascii="宋体" w:hAnsi="宋体" w:eastAsia="宋体" w:cs="宋体"/>
                <w:color w:val="000000"/>
                <w:sz w:val="21"/>
                <w:szCs w:val="21"/>
              </w:rPr>
            </w:pPr>
            <w:r>
              <w:rPr>
                <w:rFonts w:hint="eastAsia" w:ascii="宋体" w:hAnsi="宋体" w:eastAsia="宋体" w:cs="宋体"/>
                <w:color w:val="000000"/>
                <w:sz w:val="21"/>
                <w:szCs w:val="21"/>
              </w:rPr>
              <w:t>7</w:t>
            </w:r>
            <w:r>
              <w:rPr>
                <w:rFonts w:ascii="宋体" w:hAnsi="宋体" w:eastAsia="宋体" w:cs="宋体"/>
                <w:color w:val="000000"/>
                <w:sz w:val="21"/>
                <w:szCs w:val="21"/>
              </w:rPr>
              <w:t>.</w:t>
            </w:r>
            <w:r>
              <w:rPr>
                <w:rFonts w:hint="eastAsia" w:ascii="宋体" w:hAnsi="宋体" w:eastAsia="宋体" w:cs="宋体"/>
                <w:color w:val="000000"/>
                <w:sz w:val="21"/>
                <w:szCs w:val="21"/>
              </w:rPr>
              <w:t>动手动脑，创造创新，扎实推进拓展型课程，拓宽课程类型。学校乡村少年宫开设丰富多彩的活动课：中国象棋、生物的分类和识别、橡皮章雕刻、武术、合唱、书法、篮球、魅力星形体舞蹈课、用英语演绎中国传统节日、素描基础等等；丰富了学生课余生活，培养了学生的兴趣和热情。</w:t>
            </w:r>
          </w:p>
          <w:p>
            <w:pPr>
              <w:rPr>
                <w:rFonts w:ascii="宋体" w:hAnsi="宋体" w:eastAsia="宋体" w:cs="宋体"/>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r>
              <w:rPr>
                <w:rFonts w:ascii="仿宋" w:hAnsi="仿宋" w:eastAsia="仿宋" w:cs="仿宋"/>
                <w:sz w:val="21"/>
                <w:szCs w:val="21"/>
              </w:rPr>
              <w:t>1.5</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Pr>
          <w:p>
            <w:r>
              <w:rPr>
                <w:rFonts w:ascii="仿宋" w:hAnsi="仿宋" w:eastAsia="仿宋" w:cs="仿宋"/>
                <w:sz w:val="21"/>
                <w:szCs w:val="21"/>
              </w:rPr>
              <w:t>9</w:t>
            </w:r>
          </w:p>
        </w:tc>
        <w:tc>
          <w:tcPr>
            <w:tcW w:w="840" w:type="dxa"/>
            <w:vMerge w:val="continue"/>
            <w:tcBorders>
              <w:left w:val="single" w:color="000000" w:sz="8" w:space="0"/>
              <w:right w:val="single" w:color="000000" w:sz="8" w:space="0"/>
            </w:tcBorders>
            <w:shd w:val="clear" w:color="auto" w:fill="auto"/>
          </w:tcPr>
          <w:p/>
        </w:tc>
        <w:tc>
          <w:tcPr>
            <w:tcW w:w="840" w:type="dxa"/>
            <w:vMerge w:val="continue"/>
            <w:tcBorders>
              <w:left w:val="single" w:color="000000" w:sz="8" w:space="0"/>
              <w:right w:val="single" w:color="000000" w:sz="8" w:space="0"/>
            </w:tcBorders>
            <w:shd w:val="clear" w:color="auto" w:fill="auto"/>
          </w:tc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420" w:hRule="atLeast"/>
          <w:jc w:val="center"/>
        </w:trPr>
        <w:tc>
          <w:tcPr>
            <w:tcW w:w="555" w:type="dxa"/>
            <w:vMerge w:val="continue"/>
            <w:tcBorders>
              <w:left w:val="single" w:color="000000" w:sz="8" w:space="0"/>
              <w:right w:val="single" w:color="000000" w:sz="8" w:space="0"/>
            </w:tcBorders>
            <w:shd w:val="clear" w:color="auto" w:fill="auto"/>
            <w:vAlign w:val="center"/>
          </w:tcPr>
          <w:p>
            <w:pPr>
              <w:jc w:val="left"/>
            </w:pPr>
          </w:p>
        </w:tc>
        <w:tc>
          <w:tcPr>
            <w:tcW w:w="555" w:type="dxa"/>
            <w:vMerge w:val="continue"/>
            <w:tcBorders>
              <w:left w:val="single" w:color="000000" w:sz="8" w:space="0"/>
              <w:right w:val="single" w:color="000000" w:sz="8" w:space="0"/>
            </w:tcBorders>
            <w:shd w:val="clear" w:color="auto" w:fill="auto"/>
            <w:vAlign w:val="center"/>
          </w:tcPr>
          <w:p>
            <w:pPr>
              <w:jc w:val="left"/>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ind w:left="88" w:hanging="88"/>
            </w:p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eastAsia="宋体" w:cs="宋体"/>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r>
              <w:rPr>
                <w:rFonts w:ascii="仿宋" w:hAnsi="仿宋" w:eastAsia="仿宋" w:cs="仿宋"/>
                <w:sz w:val="21"/>
                <w:szCs w:val="21"/>
              </w:rPr>
              <w:t>1.5</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left w:val="single" w:color="000000" w:sz="8" w:space="0"/>
              <w:right w:val="single" w:color="000000" w:sz="8" w:space="0"/>
            </w:tcBorders>
            <w:shd w:val="clear" w:color="auto" w:fill="auto"/>
          </w:tcPr>
          <w:p/>
        </w:tc>
        <w:tc>
          <w:tcPr>
            <w:tcW w:w="840" w:type="dxa"/>
            <w:vMerge w:val="continue"/>
            <w:tcBorders>
              <w:left w:val="single" w:color="000000" w:sz="8" w:space="0"/>
              <w:right w:val="single" w:color="000000" w:sz="8" w:space="0"/>
            </w:tcBorders>
            <w:shd w:val="clear" w:color="auto" w:fill="auto"/>
          </w:tc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420" w:hRule="atLeast"/>
          <w:jc w:val="center"/>
        </w:trPr>
        <w:tc>
          <w:tcPr>
            <w:tcW w:w="555" w:type="dxa"/>
            <w:vMerge w:val="continue"/>
            <w:tcBorders>
              <w:left w:val="single" w:color="000000" w:sz="8" w:space="0"/>
              <w:right w:val="single" w:color="000000" w:sz="8" w:space="0"/>
            </w:tcBorders>
            <w:shd w:val="clear" w:color="auto" w:fill="auto"/>
            <w:vAlign w:val="center"/>
          </w:tcPr>
          <w:p>
            <w:pPr>
              <w:jc w:val="left"/>
            </w:pPr>
          </w:p>
        </w:tc>
        <w:tc>
          <w:tcPr>
            <w:tcW w:w="555" w:type="dxa"/>
            <w:vMerge w:val="continue"/>
            <w:tcBorders>
              <w:left w:val="single" w:color="000000" w:sz="8" w:space="0"/>
              <w:right w:val="single" w:color="000000" w:sz="8" w:space="0"/>
            </w:tcBorders>
            <w:shd w:val="clear" w:color="auto" w:fill="auto"/>
            <w:vAlign w:val="center"/>
          </w:tcPr>
          <w:p>
            <w:pPr>
              <w:jc w:val="left"/>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ind w:left="88" w:hanging="88"/>
            </w:p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eastAsia="宋体" w:cs="宋体"/>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r>
              <w:rPr>
                <w:rFonts w:ascii="仿宋" w:hAnsi="仿宋" w:eastAsia="仿宋" w:cs="仿宋"/>
                <w:sz w:val="21"/>
                <w:szCs w:val="21"/>
              </w:rPr>
              <w:t>1.5</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left w:val="single" w:color="000000" w:sz="8" w:space="0"/>
              <w:right w:val="single" w:color="000000" w:sz="8" w:space="0"/>
            </w:tcBorders>
            <w:shd w:val="clear" w:color="auto" w:fill="auto"/>
          </w:tcPr>
          <w:p/>
        </w:tc>
        <w:tc>
          <w:tcPr>
            <w:tcW w:w="840" w:type="dxa"/>
            <w:vMerge w:val="continue"/>
            <w:tcBorders>
              <w:left w:val="single" w:color="000000" w:sz="8" w:space="0"/>
              <w:right w:val="single" w:color="000000" w:sz="8" w:space="0"/>
            </w:tcBorders>
            <w:shd w:val="clear" w:color="auto" w:fill="auto"/>
          </w:tc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420" w:hRule="atLeast"/>
          <w:jc w:val="center"/>
        </w:trPr>
        <w:tc>
          <w:tcPr>
            <w:tcW w:w="555" w:type="dxa"/>
            <w:vMerge w:val="continue"/>
            <w:tcBorders>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ind w:left="88" w:hanging="88"/>
            </w:p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eastAsia="宋体" w:cs="宋体"/>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r>
              <w:rPr>
                <w:rFonts w:ascii="仿宋" w:hAnsi="仿宋" w:eastAsia="仿宋" w:cs="仿宋"/>
                <w:sz w:val="21"/>
                <w:szCs w:val="21"/>
              </w:rPr>
              <w:t>4.5</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left w:val="single" w:color="000000" w:sz="8" w:space="0"/>
              <w:bottom w:val="single" w:color="000000" w:sz="8" w:space="0"/>
              <w:right w:val="single" w:color="000000" w:sz="8" w:space="0"/>
            </w:tcBorders>
            <w:shd w:val="clear" w:color="auto" w:fill="auto"/>
          </w:tcPr>
          <w:p/>
        </w:tc>
        <w:tc>
          <w:tcPr>
            <w:tcW w:w="840" w:type="dxa"/>
            <w:vMerge w:val="continue"/>
            <w:tcBorders>
              <w:left w:val="single" w:color="000000" w:sz="8" w:space="0"/>
              <w:bottom w:val="single" w:color="000000" w:sz="8" w:space="0"/>
              <w:right w:val="single" w:color="000000" w:sz="8" w:space="0"/>
            </w:tcBorders>
            <w:shd w:val="clear" w:color="auto" w:fill="auto"/>
          </w:tc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795" w:hRule="atLeast"/>
          <w:jc w:val="center"/>
        </w:trPr>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A3</w:t>
            </w:r>
          </w:p>
          <w:p>
            <w:pPr>
              <w:spacing w:line="327" w:lineRule="auto"/>
              <w:jc w:val="center"/>
            </w:pPr>
            <w:r>
              <w:rPr>
                <w:rFonts w:ascii="仿宋" w:hAnsi="仿宋" w:eastAsia="仿宋" w:cs="仿宋"/>
                <w:b/>
                <w:sz w:val="21"/>
                <w:szCs w:val="21"/>
              </w:rPr>
              <w:t>发展潜力35</w:t>
            </w:r>
          </w:p>
        </w:tc>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90" w:lineRule="auto"/>
              <w:jc w:val="center"/>
            </w:pPr>
            <w:r>
              <w:rPr>
                <w:rFonts w:ascii="仿宋" w:hAnsi="仿宋" w:eastAsia="仿宋" w:cs="仿宋"/>
                <w:b/>
                <w:sz w:val="21"/>
                <w:szCs w:val="21"/>
              </w:rPr>
              <w:t>B5</w:t>
            </w:r>
          </w:p>
          <w:p>
            <w:pPr>
              <w:spacing w:line="327" w:lineRule="auto"/>
              <w:jc w:val="center"/>
            </w:pPr>
            <w:r>
              <w:rPr>
                <w:rFonts w:ascii="仿宋" w:hAnsi="仿宋" w:eastAsia="仿宋" w:cs="仿宋"/>
                <w:b/>
                <w:sz w:val="21"/>
                <w:szCs w:val="21"/>
              </w:rPr>
              <w:t>学校治理4</w:t>
            </w:r>
          </w:p>
        </w:tc>
        <w:tc>
          <w:tcPr>
            <w:tcW w:w="115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C9</w:t>
            </w:r>
          </w:p>
          <w:p>
            <w:pPr>
              <w:spacing w:line="327" w:lineRule="auto"/>
              <w:jc w:val="center"/>
            </w:pPr>
            <w:r>
              <w:rPr>
                <w:rFonts w:ascii="仿宋" w:hAnsi="仿宋" w:eastAsia="仿宋" w:cs="仿宋"/>
                <w:b/>
                <w:sz w:val="21"/>
                <w:szCs w:val="21"/>
              </w:rPr>
              <w:t>发展规划2</w:t>
            </w:r>
          </w:p>
        </w:tc>
        <w:tc>
          <w:tcPr>
            <w:tcW w:w="364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ind w:left="88" w:hanging="88"/>
            </w:pPr>
            <w:r>
              <w:rPr>
                <w:rFonts w:ascii="仿宋" w:hAnsi="仿宋" w:eastAsia="仿宋" w:cs="仿宋"/>
                <w:sz w:val="21"/>
                <w:szCs w:val="21"/>
              </w:rPr>
              <w:t>1.发展规划实施举措针对性强，年度工作计划与学校发展规划匹配度高、有达成标志、有自评与调整机制（1）</w:t>
            </w:r>
          </w:p>
          <w:p>
            <w:pPr>
              <w:spacing w:line="327" w:lineRule="auto"/>
              <w:ind w:left="88" w:hanging="88"/>
            </w:pPr>
            <w:r>
              <w:rPr>
                <w:rFonts w:ascii="仿宋" w:hAnsi="仿宋" w:eastAsia="仿宋" w:cs="仿宋"/>
                <w:sz w:val="21"/>
                <w:szCs w:val="21"/>
              </w:rPr>
              <w:t>2.聚焦学校发展重点，有激发师生员工积极性和创造力的举措（1）</w:t>
            </w:r>
          </w:p>
        </w:tc>
        <w:tc>
          <w:tcPr>
            <w:tcW w:w="6077" w:type="dxa"/>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eastAsia="宋体" w:cs="宋体"/>
                <w:sz w:val="21"/>
                <w:szCs w:val="21"/>
              </w:rPr>
            </w:pPr>
            <w:r>
              <w:rPr>
                <w:rFonts w:hint="eastAsia" w:ascii="宋体" w:hAnsi="宋体" w:eastAsia="宋体" w:cs="宋体"/>
                <w:sz w:val="21"/>
                <w:szCs w:val="21"/>
              </w:rPr>
              <w:t>1.充分发挥“上海名师”专家和基地的优势。学校精准托管目标明确后，尤其是在中期评估后，结合学校实际，在顾志跃、谢诒范等专家指导下，进一步完善了了重固中学《重德铸魂 固本培根 引领成长》“十四五”发展规划（2021.1-2025.12 )为学校梳理发展思路、传承办学优势、设计发展蓝图，促进学生发展。学校年度计划根据“十四五”发展规划和托管方案制定，托管会每月检查前一阶段工作，布置后一阶段任务，根据托管目标的达成度，随时调整，及时有序推进。</w:t>
            </w:r>
          </w:p>
          <w:p>
            <w:pPr>
              <w:rPr>
                <w:rFonts w:ascii="宋体" w:hAnsi="宋体" w:eastAsia="宋体" w:cs="宋体"/>
                <w:sz w:val="21"/>
                <w:szCs w:val="21"/>
              </w:rPr>
            </w:pPr>
            <w:r>
              <w:rPr>
                <w:rFonts w:hint="eastAsia" w:ascii="宋体" w:hAnsi="宋体" w:eastAsia="宋体" w:cs="宋体"/>
                <w:sz w:val="21"/>
                <w:szCs w:val="21"/>
              </w:rPr>
              <w:t>2.《重固中学绩效工资考核方案》、《重固中学教育教学奖惩条例》等管理激励机制，激发全体教师的积极性和创造性。</w:t>
            </w:r>
          </w:p>
          <w:p>
            <w:pPr>
              <w:rPr>
                <w:rFonts w:ascii="宋体" w:hAnsi="宋体" w:eastAsia="宋体" w:cs="宋体"/>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r>
              <w:rPr>
                <w:rFonts w:ascii="仿宋" w:hAnsi="仿宋" w:eastAsia="仿宋" w:cs="仿宋"/>
                <w:b/>
                <w:sz w:val="21"/>
                <w:szCs w:val="21"/>
              </w:rPr>
              <w:t>2</w:t>
            </w:r>
          </w:p>
        </w:tc>
        <w:tc>
          <w:tcPr>
            <w:tcW w:w="840" w:type="dxa"/>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r>
              <w:rPr>
                <w:rFonts w:ascii="仿宋" w:hAnsi="仿宋" w:eastAsia="仿宋" w:cs="仿宋"/>
                <w:b/>
                <w:sz w:val="21"/>
                <w:szCs w:val="21"/>
              </w:rPr>
              <w:t>2</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r>
              <w:rPr>
                <w:rFonts w:ascii="仿宋" w:hAnsi="仿宋" w:eastAsia="仿宋" w:cs="仿宋"/>
                <w:b/>
                <w:sz w:val="21"/>
                <w:szCs w:val="21"/>
              </w:rPr>
              <w:t>4</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rPr>
                <w:rFonts w:hint="default" w:eastAsia="宋体"/>
                <w:lang w:val="en-US" w:eastAsia="zh-CN"/>
              </w:rPr>
            </w:pPr>
            <w:r>
              <w:rPr>
                <w:rFonts w:hint="eastAsia" w:ascii="仿宋" w:hAnsi="仿宋" w:eastAsia="仿宋" w:cs="仿宋"/>
                <w:b/>
                <w:sz w:val="21"/>
                <w:szCs w:val="21"/>
                <w:lang w:val="en-US" w:eastAsia="zh-CN"/>
              </w:rPr>
              <w:t>35</w:t>
            </w: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72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rPr>
                <w:rFonts w:ascii="宋体" w:hAnsi="宋体" w:eastAsia="宋体" w:cs="宋体"/>
                <w:sz w:val="21"/>
                <w:szCs w:val="21"/>
              </w:rPr>
            </w:pPr>
            <w:r>
              <w:rPr>
                <w:rFonts w:ascii="宋体" w:hAnsi="宋体" w:eastAsia="宋体" w:cs="宋体"/>
                <w:sz w:val="21"/>
                <w:szCs w:val="21"/>
              </w:rPr>
              <w:t>C10治理机制2</w:t>
            </w:r>
          </w:p>
        </w:tc>
        <w:tc>
          <w:tcPr>
            <w:tcW w:w="364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ind w:left="88" w:hanging="88"/>
              <w:rPr>
                <w:rFonts w:ascii="宋体" w:hAnsi="宋体" w:eastAsia="宋体" w:cs="宋体"/>
                <w:sz w:val="21"/>
                <w:szCs w:val="21"/>
              </w:rPr>
            </w:pPr>
            <w:r>
              <w:rPr>
                <w:rFonts w:ascii="宋体" w:hAnsi="宋体" w:eastAsia="宋体" w:cs="宋体"/>
                <w:sz w:val="21"/>
                <w:szCs w:val="21"/>
              </w:rPr>
              <w:t>1.学校治理组织结构与运行机制健全，注重民主协商与监督，体现人文关怀（1）</w:t>
            </w:r>
          </w:p>
          <w:p>
            <w:pPr>
              <w:spacing w:line="327" w:lineRule="auto"/>
              <w:ind w:left="88" w:hanging="88"/>
              <w:rPr>
                <w:rFonts w:ascii="宋体" w:hAnsi="宋体" w:eastAsia="宋体" w:cs="宋体"/>
                <w:sz w:val="21"/>
                <w:szCs w:val="21"/>
              </w:rPr>
            </w:pPr>
            <w:r>
              <w:rPr>
                <w:rFonts w:ascii="宋体" w:hAnsi="宋体" w:eastAsia="宋体" w:cs="宋体"/>
                <w:sz w:val="21"/>
                <w:szCs w:val="21"/>
              </w:rPr>
              <w:t>2.校长具有盘活、整合校内外资源的能力，课程、教学、评价等专业领导力明显提升（1）</w:t>
            </w:r>
          </w:p>
        </w:tc>
        <w:tc>
          <w:tcPr>
            <w:tcW w:w="60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00" w:lineRule="exact"/>
              <w:jc w:val="left"/>
              <w:rPr>
                <w:rFonts w:ascii="宋体" w:hAnsi="宋体" w:eastAsia="宋体" w:cs="宋体"/>
                <w:sz w:val="21"/>
                <w:szCs w:val="21"/>
              </w:rPr>
            </w:pPr>
            <w:r>
              <w:rPr>
                <w:rFonts w:hint="eastAsia" w:ascii="宋体" w:hAnsi="宋体" w:eastAsia="宋体" w:cs="宋体"/>
                <w:sz w:val="21"/>
                <w:szCs w:val="21"/>
              </w:rPr>
              <w:t>1.学校党组织</w:t>
            </w:r>
            <w:r>
              <w:rPr>
                <w:rFonts w:ascii="宋体" w:hAnsi="宋体" w:eastAsia="宋体" w:cs="宋体"/>
                <w:sz w:val="21"/>
                <w:szCs w:val="21"/>
              </w:rPr>
              <w:t>把方向、管大局、</w:t>
            </w:r>
            <w:r>
              <w:rPr>
                <w:rFonts w:hint="eastAsia" w:ascii="宋体" w:hAnsi="宋体" w:eastAsia="宋体" w:cs="宋体"/>
                <w:sz w:val="21"/>
                <w:szCs w:val="21"/>
              </w:rPr>
              <w:t>托管委员会定</w:t>
            </w:r>
            <w:r>
              <w:rPr>
                <w:rFonts w:ascii="宋体" w:hAnsi="宋体" w:eastAsia="宋体" w:cs="宋体"/>
                <w:sz w:val="21"/>
                <w:szCs w:val="21"/>
              </w:rPr>
              <w:t>决策、抓班子、带队伍</w:t>
            </w:r>
            <w:r>
              <w:rPr>
                <w:rFonts w:hint="eastAsia" w:ascii="宋体" w:hAnsi="宋体" w:eastAsia="宋体" w:cs="宋体"/>
                <w:sz w:val="21"/>
                <w:szCs w:val="21"/>
              </w:rPr>
              <w:t>，</w:t>
            </w:r>
            <w:r>
              <w:rPr>
                <w:rFonts w:ascii="宋体" w:hAnsi="宋体" w:eastAsia="宋体" w:cs="宋体"/>
                <w:sz w:val="21"/>
                <w:szCs w:val="21"/>
              </w:rPr>
              <w:t>保</w:t>
            </w:r>
            <w:r>
              <w:rPr>
                <w:rFonts w:hint="eastAsia" w:ascii="宋体" w:hAnsi="宋体" w:eastAsia="宋体" w:cs="宋体"/>
                <w:sz w:val="21"/>
                <w:szCs w:val="21"/>
              </w:rPr>
              <w:t>托管目标的</w:t>
            </w:r>
            <w:r>
              <w:rPr>
                <w:rFonts w:ascii="宋体" w:hAnsi="宋体" w:eastAsia="宋体" w:cs="宋体"/>
                <w:sz w:val="21"/>
                <w:szCs w:val="21"/>
              </w:rPr>
              <w:t>落实，</w:t>
            </w:r>
            <w:r>
              <w:rPr>
                <w:rFonts w:hint="eastAsia" w:ascii="宋体" w:hAnsi="宋体" w:eastAsia="宋体" w:cs="宋体"/>
                <w:sz w:val="21"/>
                <w:szCs w:val="21"/>
              </w:rPr>
              <w:t>学校</w:t>
            </w:r>
            <w:r>
              <w:rPr>
                <w:rFonts w:ascii="宋体" w:hAnsi="宋体" w:eastAsia="宋体" w:cs="宋体"/>
                <w:sz w:val="21"/>
                <w:szCs w:val="21"/>
              </w:rPr>
              <w:t>职能部门</w:t>
            </w:r>
            <w:r>
              <w:rPr>
                <w:rFonts w:hint="eastAsia" w:ascii="宋体" w:hAnsi="宋体" w:eastAsia="宋体" w:cs="宋体"/>
                <w:sz w:val="21"/>
                <w:szCs w:val="21"/>
              </w:rPr>
              <w:t>落实托管方案的实施。组织机构健全的前提下，重固中学有完善的《重固中学办学章程》，严格按照章程依法办学，</w:t>
            </w:r>
            <w:r>
              <w:rPr>
                <w:rFonts w:ascii="宋体" w:hAnsi="宋体" w:eastAsia="宋体" w:cs="宋体"/>
                <w:sz w:val="21"/>
                <w:szCs w:val="21"/>
              </w:rPr>
              <w:t>依法依规行使职权；</w:t>
            </w:r>
            <w:r>
              <w:rPr>
                <w:rFonts w:hint="eastAsia" w:ascii="宋体" w:hAnsi="宋体" w:eastAsia="宋体" w:cs="宋体"/>
                <w:sz w:val="21"/>
                <w:szCs w:val="21"/>
              </w:rPr>
              <w:t>学校建立</w:t>
            </w:r>
            <w:r>
              <w:rPr>
                <w:rFonts w:ascii="宋体" w:hAnsi="宋体" w:eastAsia="宋体" w:cs="宋体"/>
                <w:sz w:val="21"/>
                <w:szCs w:val="21"/>
              </w:rPr>
              <w:t>教职工代表</w:t>
            </w:r>
            <w:r>
              <w:rPr>
                <w:rFonts w:hint="eastAsia" w:ascii="宋体" w:hAnsi="宋体" w:eastAsia="宋体" w:cs="宋体"/>
                <w:sz w:val="21"/>
                <w:szCs w:val="21"/>
              </w:rPr>
              <w:t>大会制度</w:t>
            </w:r>
            <w:r>
              <w:rPr>
                <w:rFonts w:ascii="宋体" w:hAnsi="宋体" w:eastAsia="宋体" w:cs="宋体"/>
                <w:sz w:val="21"/>
                <w:szCs w:val="21"/>
              </w:rPr>
              <w:t>，按规定召开教代会，审议通过学校重大事项。</w:t>
            </w:r>
            <w:r>
              <w:rPr>
                <w:rFonts w:hint="eastAsia" w:ascii="宋体" w:hAnsi="宋体" w:eastAsia="宋体" w:cs="宋体"/>
                <w:sz w:val="21"/>
                <w:szCs w:val="21"/>
              </w:rPr>
              <w:t>领导班子成员不断加强新时代学校治理体系和治理能力的学习与研究。</w:t>
            </w:r>
          </w:p>
          <w:p>
            <w:pPr>
              <w:rPr>
                <w:rFonts w:ascii="宋体" w:hAnsi="宋体" w:eastAsia="宋体" w:cs="宋体"/>
                <w:sz w:val="21"/>
                <w:szCs w:val="21"/>
              </w:rPr>
            </w:pPr>
            <w:r>
              <w:rPr>
                <w:rFonts w:ascii="宋体" w:hAnsi="宋体" w:eastAsia="宋体" w:cs="宋体"/>
                <w:sz w:val="21"/>
                <w:szCs w:val="21"/>
              </w:rPr>
              <w:t>2.</w:t>
            </w:r>
            <w:r>
              <w:rPr>
                <w:rFonts w:hint="eastAsia" w:ascii="宋体" w:hAnsi="宋体" w:eastAsia="宋体" w:cs="宋体"/>
                <w:sz w:val="21"/>
                <w:szCs w:val="21"/>
              </w:rPr>
              <w:t>我们用制度促进学校的和谐。制定“党支部、校长办公会议</w:t>
            </w:r>
            <w:r>
              <w:rPr>
                <w:rFonts w:ascii="宋体" w:hAnsi="宋体" w:eastAsia="宋体" w:cs="宋体"/>
                <w:sz w:val="21"/>
                <w:szCs w:val="21"/>
              </w:rPr>
              <w:t>议事规则</w:t>
            </w:r>
            <w:r>
              <w:rPr>
                <w:rFonts w:hint="eastAsia" w:ascii="宋体" w:hAnsi="宋体" w:eastAsia="宋体" w:cs="宋体"/>
                <w:sz w:val="21"/>
                <w:szCs w:val="21"/>
              </w:rPr>
              <w:t>”</w:t>
            </w:r>
            <w:r>
              <w:rPr>
                <w:rFonts w:ascii="宋体" w:hAnsi="宋体" w:eastAsia="宋体" w:cs="宋体"/>
                <w:sz w:val="21"/>
                <w:szCs w:val="21"/>
              </w:rPr>
              <w:t>。</w:t>
            </w:r>
            <w:r>
              <w:rPr>
                <w:rFonts w:hint="eastAsia" w:ascii="宋体" w:hAnsi="宋体" w:eastAsia="宋体" w:cs="宋体"/>
                <w:sz w:val="21"/>
                <w:szCs w:val="21"/>
              </w:rPr>
              <w:t xml:space="preserve">“重固中学班子成员，联系党员和群众谈心谈话制度”、“教师、学生申诉制度”、“职工探望慰问制度”等，托管委员会与党员群众之间建立了相互信任，相互支持，相互谅解立良好的工作关系，思想交流，坦诚相见，干部与群众对重大问题的认识形成共识。干部管理人文素养的提高，很大程度上能激发教职员工的工作热情。 </w:t>
            </w:r>
          </w:p>
          <w:p>
            <w:pPr>
              <w:rPr>
                <w:rFonts w:ascii="宋体" w:hAnsi="宋体" w:eastAsia="宋体" w:cs="宋体"/>
                <w:sz w:val="21"/>
                <w:szCs w:val="21"/>
              </w:rPr>
            </w:pPr>
            <w:r>
              <w:rPr>
                <w:rFonts w:ascii="宋体" w:hAnsi="宋体" w:eastAsia="宋体" w:cs="宋体"/>
                <w:sz w:val="21"/>
                <w:szCs w:val="21"/>
              </w:rPr>
              <w:t>3</w:t>
            </w:r>
            <w:r>
              <w:rPr>
                <w:rFonts w:hint="eastAsia" w:ascii="宋体" w:hAnsi="宋体" w:eastAsia="宋体" w:cs="宋体"/>
                <w:sz w:val="21"/>
                <w:szCs w:val="21"/>
              </w:rPr>
              <w:t>上海名师与受援学校管理层联手一是充分将市区优质资源如名师基地校、市区专家引进到学校，送课上门，引领受援学校教师转变理念与教学方式；二是邓校长领衔主课题，充分发挥重固“福泉古文化”的地域优势，通过走出去，请进来，构建起具有区域特色的校本课程，在</w:t>
            </w:r>
            <w:r>
              <w:rPr>
                <w:rFonts w:ascii="宋体" w:hAnsi="宋体" w:eastAsia="宋体" w:cs="宋体"/>
                <w:sz w:val="21"/>
                <w:szCs w:val="21"/>
              </w:rPr>
              <w:t>课后服务</w:t>
            </w:r>
            <w:r>
              <w:rPr>
                <w:rFonts w:hint="eastAsia" w:ascii="宋体" w:hAnsi="宋体" w:eastAsia="宋体" w:cs="宋体"/>
                <w:sz w:val="21"/>
                <w:szCs w:val="21"/>
              </w:rPr>
              <w:t xml:space="preserve">中收到学生的喜欢。     </w:t>
            </w: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r>
              <w:rPr>
                <w:rFonts w:ascii="仿宋" w:hAnsi="仿宋" w:eastAsia="仿宋" w:cs="仿宋"/>
                <w:b/>
                <w:sz w:val="21"/>
                <w:szCs w:val="21"/>
              </w:rPr>
              <w:t>1</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Pr>
          <w:p>
            <w:r>
              <w:rPr>
                <w:rFonts w:ascii="仿宋" w:hAnsi="仿宋" w:eastAsia="仿宋" w:cs="仿宋"/>
                <w:b/>
                <w:sz w:val="21"/>
                <w:szCs w:val="21"/>
              </w:rPr>
              <w:t>2</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72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ind w:left="88" w:hanging="88"/>
            </w:p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ascii="宋体" w:hAnsi="宋体" w:eastAsia="宋体" w:cs="宋体"/>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r>
              <w:rPr>
                <w:rFonts w:ascii="仿宋" w:hAnsi="仿宋" w:eastAsia="仿宋" w:cs="仿宋"/>
                <w:b/>
                <w:sz w:val="21"/>
                <w:szCs w:val="21"/>
              </w:rPr>
              <w:t>1</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72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B6</w:t>
            </w:r>
          </w:p>
          <w:p>
            <w:pPr>
              <w:spacing w:line="327" w:lineRule="auto"/>
              <w:jc w:val="center"/>
            </w:pPr>
            <w:r>
              <w:rPr>
                <w:rFonts w:ascii="仿宋" w:hAnsi="仿宋" w:eastAsia="仿宋" w:cs="仿宋"/>
                <w:b/>
                <w:sz w:val="21"/>
                <w:szCs w:val="21"/>
              </w:rPr>
              <w:t>课程教学15</w:t>
            </w: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C11课程建设3</w:t>
            </w:r>
          </w:p>
        </w:tc>
        <w:tc>
          <w:tcPr>
            <w:tcW w:w="364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ind w:left="88" w:hanging="88"/>
            </w:pPr>
            <w:r>
              <w:rPr>
                <w:rFonts w:ascii="仿宋" w:hAnsi="仿宋" w:eastAsia="仿宋" w:cs="仿宋"/>
                <w:sz w:val="21"/>
                <w:szCs w:val="21"/>
              </w:rPr>
              <w:t>1.整体规划国家课程和校本课程，严格按照要求开齐开足国家课程，科学有效开发校本课程（2）</w:t>
            </w:r>
          </w:p>
          <w:p>
            <w:pPr>
              <w:spacing w:line="327" w:lineRule="auto"/>
              <w:ind w:left="88" w:hanging="88"/>
            </w:pPr>
            <w:r>
              <w:rPr>
                <w:rFonts w:ascii="仿宋" w:hAnsi="仿宋" w:eastAsia="仿宋" w:cs="仿宋"/>
                <w:sz w:val="21"/>
                <w:szCs w:val="21"/>
              </w:rPr>
              <w:t>2.重视法治教育、安全教育、心理健康教育和家庭教育指导，相关课程开设到位（1）</w:t>
            </w:r>
          </w:p>
        </w:tc>
        <w:tc>
          <w:tcPr>
            <w:tcW w:w="60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sz w:val="21"/>
                <w:szCs w:val="21"/>
              </w:rPr>
            </w:pPr>
            <w:r>
              <w:rPr>
                <w:rFonts w:hint="eastAsia" w:ascii="宋体" w:hAnsi="宋体" w:eastAsia="宋体" w:cs="宋体"/>
                <w:sz w:val="21"/>
                <w:szCs w:val="21"/>
              </w:rPr>
              <w:t>1.严格执行市教委会颁发的课程计划，规范实施国家课程，使用统编教材，开齐开足开好三类课程。在国家课程校本化实施进程中，邓校长领衔开展区级重点课题《整合劳动教育，建构新时代学校课程一体化的实践研究》，</w:t>
            </w:r>
            <w:r>
              <w:rPr>
                <w:rFonts w:hint="eastAsia" w:ascii="宋体" w:hAnsi="宋体" w:eastAsia="宋体" w:cs="宋体"/>
                <w:color w:val="000000"/>
                <w:sz w:val="21"/>
                <w:szCs w:val="21"/>
              </w:rPr>
              <w:t>运用学校独有“福泉”传统文化遗产，开展社会调研，着手“福泉”课程的设计，</w:t>
            </w:r>
            <w:r>
              <w:rPr>
                <w:rFonts w:hint="eastAsia" w:ascii="宋体" w:hAnsi="宋体" w:eastAsia="宋体" w:cs="宋体"/>
                <w:sz w:val="21"/>
                <w:szCs w:val="21"/>
              </w:rPr>
              <w:t>建设有特色的“福泉”校本课程，在不断完善中开设了丰富多彩的活动课和形式多样的社团活动，成立了“福泉创新实验室”，教师和学生在实验室中动手又动脑，有想象，有创造，有作品，深的教师和学生的热爱。</w:t>
            </w:r>
          </w:p>
          <w:p>
            <w:pPr>
              <w:widowControl w:val="0"/>
              <w:autoSpaceDE w:val="0"/>
              <w:autoSpaceDN w:val="0"/>
              <w:adjustRightInd w:val="0"/>
              <w:jc w:val="left"/>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sz w:val="21"/>
                <w:szCs w:val="21"/>
              </w:rPr>
              <w:t xml:space="preserve"> </w:t>
            </w:r>
            <w:r>
              <w:rPr>
                <w:rFonts w:hint="eastAsia" w:ascii="宋体" w:hAnsi="宋体" w:eastAsia="宋体" w:cs="宋体"/>
                <w:color w:val="000000" w:themeColor="text1"/>
                <w:sz w:val="21"/>
                <w:szCs w:val="21"/>
                <w14:textFill>
                  <w14:solidFill>
                    <w14:schemeClr w14:val="tx1"/>
                  </w14:solidFill>
                </w14:textFill>
              </w:rPr>
              <w:t xml:space="preserve"> 2.学校以班会课、午会课为主要阵地，学校“宪法宣传周、安全宣传周、心理健康教育季” 等重要宣传教育周活动，以及“5·12、 11·9、全民国家安全教育日”等重大日子，开展“法制与生命健康”主题教育；并通过专题讲座、网上知识答等多种形式的主题教育活动与学生宣传“法制与生命健康”的征文、小报等形象化的作品创作，启迪学生学法懂法尊法守法护法的法治意识，增强交通、消防、防震、防暴、防溺水、防诈骗、网络等方面的安全意识及自护能力，养成珍爱生命、自尊自强、直面挫折、积极向上的健康心理。</w:t>
            </w:r>
          </w:p>
          <w:p>
            <w:pPr>
              <w:spacing w:line="276" w:lineRule="auto"/>
              <w:rPr>
                <w:rFonts w:ascii="宋体" w:hAnsi="宋体" w:eastAsia="宋体" w:cs="宋体"/>
                <w:sz w:val="21"/>
                <w:szCs w:val="21"/>
              </w:rPr>
            </w:pPr>
            <w:r>
              <w:rPr>
                <w:rFonts w:hint="eastAsia" w:ascii="宋体" w:hAnsi="宋体" w:eastAsia="宋体" w:cs="宋体"/>
                <w:color w:val="000000" w:themeColor="text1"/>
                <w:sz w:val="21"/>
                <w:szCs w:val="21"/>
                <w14:textFill>
                  <w14:solidFill>
                    <w14:schemeClr w14:val="tx1"/>
                  </w14:solidFill>
                </w14:textFill>
              </w:rPr>
              <w:t>3.学校高度重视发挥家庭教育在学生成长、发展中的作用，通过家委会、家长会、家长学校、家长沙龙、家长开放日等，线上与线下相结合，结合学生年龄特点对全体家长开展家庭教育指导，学习指导家长学习《家庭教育促进法》，增强家长重视、改进家庭教育的意识，提升家庭教育的时效性。充分发掘校外资源，学校“正面管教+非暴力沟通+互助相爱”家长沙龙活动，帮助家长学习与孩子有效沟通的技巧并通过电话、微信、家访、邀请家长来校等方式，进行个别化、针对性的家庭教育沟通指导。取得很好的效果，得到广大家长的认可和欢迎。</w:t>
            </w:r>
            <w:r>
              <w:rPr>
                <w:rFonts w:ascii="宋体" w:hAnsi="宋体" w:eastAsia="宋体" w:cs="宋体"/>
                <w:sz w:val="21"/>
                <w:szCs w:val="21"/>
              </w:rPr>
              <w:t xml:space="preserve"> </w:t>
            </w: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r>
              <w:rPr>
                <w:rFonts w:ascii="仿宋" w:hAnsi="仿宋" w:eastAsia="仿宋" w:cs="仿宋"/>
                <w:b/>
                <w:sz w:val="21"/>
                <w:szCs w:val="21"/>
              </w:rPr>
              <w:t>2</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r>
              <w:rPr>
                <w:rFonts w:ascii="仿宋" w:hAnsi="仿宋" w:eastAsia="仿宋" w:cs="仿宋"/>
                <w:b/>
                <w:sz w:val="21"/>
                <w:szCs w:val="21"/>
              </w:rPr>
              <w:t>3</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rPr>
                <w:rFonts w:hint="eastAsia" w:eastAsia="仿宋"/>
                <w:lang w:eastAsia="zh-CN"/>
              </w:rPr>
            </w:pPr>
            <w:r>
              <w:rPr>
                <w:rFonts w:ascii="仿宋" w:hAnsi="仿宋" w:eastAsia="仿宋" w:cs="仿宋"/>
                <w:b/>
                <w:sz w:val="21"/>
                <w:szCs w:val="21"/>
              </w:rPr>
              <w:t>1</w:t>
            </w:r>
            <w:r>
              <w:rPr>
                <w:rFonts w:hint="eastAsia" w:ascii="仿宋" w:hAnsi="仿宋" w:eastAsia="仿宋" w:cs="仿宋"/>
                <w:b/>
                <w:sz w:val="21"/>
                <w:szCs w:val="21"/>
                <w:lang w:val="en-US" w:eastAsia="zh-CN"/>
              </w:rPr>
              <w:t>5</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30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ind w:left="88" w:hanging="88"/>
            </w:p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sz w:val="21"/>
                <w:szCs w:val="21"/>
              </w:rPr>
            </w:pPr>
          </w:p>
        </w:tc>
        <w:tc>
          <w:tcPr>
            <w:tcW w:w="1005" w:type="dxa"/>
            <w:vMerge w:val="restart"/>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r>
              <w:rPr>
                <w:rFonts w:ascii="仿宋" w:hAnsi="仿宋" w:eastAsia="仿宋" w:cs="仿宋"/>
                <w:b/>
                <w:sz w:val="21"/>
                <w:szCs w:val="21"/>
              </w:rPr>
              <w:t>1</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708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ind w:left="88" w:hanging="88"/>
            </w:pPr>
          </w:p>
        </w:tc>
        <w:tc>
          <w:tcPr>
            <w:tcW w:w="60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sz w:val="21"/>
                <w:szCs w:val="21"/>
              </w:rPr>
            </w:pPr>
          </w:p>
        </w:tc>
        <w:tc>
          <w:tcPr>
            <w:tcW w:w="1005"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33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ind w:left="88" w:hanging="88"/>
            </w:p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sz w:val="21"/>
                <w:szCs w:val="21"/>
              </w:rPr>
            </w:pPr>
          </w:p>
        </w:tc>
        <w:tc>
          <w:tcPr>
            <w:tcW w:w="1005"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1155"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C12课堂教学7</w:t>
            </w:r>
          </w:p>
        </w:tc>
        <w:tc>
          <w:tcPr>
            <w:tcW w:w="364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r>
              <w:rPr>
                <w:rFonts w:ascii="仿宋" w:hAnsi="仿宋" w:eastAsia="仿宋" w:cs="仿宋"/>
                <w:sz w:val="21"/>
                <w:szCs w:val="21"/>
              </w:rPr>
              <w:t>1.落实“双新”“双减”政策要求，坚持国家课程的校本化实施，优化教学方式，坚持因材施教，指导学生改进学习方法（3）</w:t>
            </w:r>
          </w:p>
          <w:p>
            <w:pPr>
              <w:spacing w:line="327" w:lineRule="auto"/>
            </w:pPr>
            <w:r>
              <w:rPr>
                <w:rFonts w:ascii="仿宋" w:hAnsi="仿宋" w:eastAsia="仿宋" w:cs="仿宋"/>
                <w:sz w:val="21"/>
                <w:szCs w:val="21"/>
              </w:rPr>
              <w:t>2.托管双方学科教学对接、指导到位，备课组、教研组定期交流、深度互动（2）</w:t>
            </w:r>
          </w:p>
          <w:p>
            <w:pPr>
              <w:spacing w:line="327" w:lineRule="auto"/>
            </w:pPr>
            <w:r>
              <w:rPr>
                <w:rFonts w:ascii="仿宋" w:hAnsi="仿宋" w:eastAsia="仿宋" w:cs="仿宋"/>
                <w:sz w:val="21"/>
                <w:szCs w:val="21"/>
              </w:rPr>
              <w:t>3.学校教学评价制度健全，注重教学诊断与改进，形成校内教学质量监控、反馈和保障机制（2）</w:t>
            </w:r>
          </w:p>
        </w:tc>
        <w:tc>
          <w:tcPr>
            <w:tcW w:w="60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Theme="minorEastAsia" w:hAnsiTheme="minorEastAsia" w:eastAsiaTheme="minorEastAsia"/>
                <w:color w:val="FF0000"/>
                <w:sz w:val="21"/>
                <w:szCs w:val="21"/>
              </w:rPr>
            </w:pPr>
            <w:r>
              <w:rPr>
                <w:rFonts w:hint="eastAsia" w:ascii="宋体" w:hAnsi="宋体" w:eastAsia="宋体" w:cs="宋体"/>
                <w:color w:val="000000"/>
                <w:sz w:val="21"/>
                <w:szCs w:val="21"/>
              </w:rPr>
              <w:t>1.</w:t>
            </w:r>
            <w:r>
              <w:rPr>
                <w:rFonts w:hint="eastAsia" w:ascii="宋体" w:hAnsi="宋体" w:eastAsia="宋体" w:cs="宋体"/>
                <w:color w:val="auto"/>
                <w:sz w:val="21"/>
                <w:szCs w:val="21"/>
              </w:rPr>
              <w:t>名师基地校特级校长马园根做《精细教学 讲求效益》《在变革中前行 在创新中跨越》《精益管理、提升素养》专题讲座，特级校长张人利《课堂教学研究的教学方法视觉二》《课堂教学研究的教学方法视觉一》开展分层教学，课内提问、例题讲解、作业设计各环节力求有层次，有针对性，形成了“以学定教”的“一图二表三单”教学各环节的层层方式落实，减轻了学生的负担的同时激发了学生求知欲与自信心，</w:t>
            </w:r>
          </w:p>
          <w:p>
            <w:pPr>
              <w:spacing w:line="276" w:lineRule="auto"/>
              <w:rPr>
                <w:rFonts w:ascii="宋体" w:hAnsi="宋体" w:eastAsia="宋体" w:cs="宋体"/>
                <w:color w:val="000000"/>
                <w:sz w:val="21"/>
                <w:szCs w:val="21"/>
              </w:rPr>
            </w:pPr>
            <w:r>
              <w:rPr>
                <w:rFonts w:ascii="宋体" w:hAnsi="宋体" w:eastAsia="宋体" w:cs="宋体"/>
                <w:color w:val="000000"/>
                <w:sz w:val="21"/>
                <w:szCs w:val="21"/>
              </w:rPr>
              <w:t>2.</w:t>
            </w:r>
            <w:r>
              <w:rPr>
                <w:rFonts w:hint="eastAsia" w:ascii="宋体" w:hAnsi="宋体" w:eastAsia="宋体" w:cs="宋体"/>
                <w:color w:val="000000"/>
                <w:sz w:val="21"/>
                <w:szCs w:val="21"/>
              </w:rPr>
              <w:t>学校“抓住起点，把握重点，化解难点，培养智优生，帮教学困生”为重点的课堂教学改进思路，切实加强“精细化”教学常规检查，坚持行政随堂听课，建立了教学质量监控和保障措施，并通过专家专题讲座、培训，集体备课、听课、评课及单元设计研究，课堂教学呈现出良好态势。</w:t>
            </w:r>
          </w:p>
          <w:p>
            <w:pPr>
              <w:spacing w:line="276" w:lineRule="auto"/>
              <w:rPr>
                <w:rFonts w:ascii="宋体" w:hAnsi="宋体" w:eastAsia="宋体" w:cs="宋体"/>
                <w:sz w:val="21"/>
                <w:szCs w:val="21"/>
              </w:rPr>
            </w:pPr>
            <w:r>
              <w:rPr>
                <w:rFonts w:hint="eastAsia" w:ascii="宋体" w:hAnsi="宋体" w:eastAsia="宋体" w:cs="宋体"/>
                <w:color w:val="000000"/>
                <w:sz w:val="21"/>
                <w:szCs w:val="21"/>
              </w:rPr>
              <w:t>3.重点关注教学“五环节”精细化落实，课堂教学精讲、作业面批、过程性监测及时。</w:t>
            </w:r>
          </w:p>
          <w:p>
            <w:pPr>
              <w:spacing w:line="276" w:lineRule="auto"/>
              <w:rPr>
                <w:rFonts w:ascii="宋体" w:hAnsi="宋体" w:eastAsia="宋体" w:cs="宋体"/>
                <w:sz w:val="21"/>
                <w:szCs w:val="21"/>
              </w:rPr>
            </w:pPr>
            <w:r>
              <w:rPr>
                <w:rFonts w:hint="eastAsia" w:ascii="宋体" w:hAnsi="宋体" w:eastAsia="宋体" w:cs="宋体"/>
                <w:color w:val="000000"/>
                <w:sz w:val="21"/>
                <w:szCs w:val="21"/>
              </w:rPr>
              <w:t>4.进行“精细化”教学常规检查，行政结队随堂听课，并填写好听课记录，及时反馈学情及教情；期初、期中、期末组织全体教研组长、备课组长进行教案检查，及时反馈。</w:t>
            </w:r>
          </w:p>
          <w:p>
            <w:pPr>
              <w:spacing w:line="276" w:lineRule="auto"/>
              <w:rPr>
                <w:rFonts w:ascii="宋体" w:hAnsi="宋体" w:eastAsia="宋体" w:cs="宋体"/>
                <w:sz w:val="21"/>
                <w:szCs w:val="21"/>
              </w:rPr>
            </w:pPr>
            <w:r>
              <w:rPr>
                <w:rFonts w:hint="eastAsia" w:ascii="宋体" w:hAnsi="宋体" w:eastAsia="宋体" w:cs="宋体"/>
                <w:color w:val="000000"/>
                <w:sz w:val="21"/>
                <w:szCs w:val="21"/>
              </w:rPr>
              <w:t>5.委托团队常驻教师为毕业班的学生开设专题讲座；专家团队为学科教师开展专题培训，基地学校互动教研，中考毕业生合格率、优良稳中有升。</w:t>
            </w:r>
          </w:p>
          <w:p>
            <w:pPr>
              <w:spacing w:line="276" w:lineRule="auto"/>
              <w:rPr>
                <w:rFonts w:ascii="宋体" w:hAnsi="宋体" w:eastAsia="宋体" w:cs="宋体"/>
                <w:color w:val="000000"/>
                <w:sz w:val="21"/>
                <w:szCs w:val="21"/>
              </w:rPr>
            </w:pPr>
            <w:r>
              <w:rPr>
                <w:rFonts w:ascii="宋体" w:hAnsi="宋体" w:eastAsia="宋体" w:cs="宋体"/>
                <w:color w:val="000000"/>
                <w:sz w:val="21"/>
                <w:szCs w:val="21"/>
              </w:rPr>
              <w:t>6.</w:t>
            </w:r>
            <w:r>
              <w:rPr>
                <w:rFonts w:hint="eastAsia" w:ascii="宋体" w:hAnsi="宋体" w:eastAsia="宋体" w:cs="宋体"/>
                <w:color w:val="000000"/>
                <w:sz w:val="21"/>
                <w:szCs w:val="21"/>
              </w:rPr>
              <w:t>举行系列《重视学法指导，构建能动课堂》活动，名优教师课堂教学展示周活动，名师基地学校格致初级中学、建平西校、位育初级中学教学校长带领学科老师送教上门，借班上课，进行分析点评，基地校和受援校教研组共同</w:t>
            </w:r>
            <w:r>
              <w:rPr>
                <w:rFonts w:ascii="宋体" w:hAnsi="宋体" w:eastAsia="宋体" w:cs="宋体"/>
                <w:color w:val="000000"/>
                <w:sz w:val="21"/>
                <w:szCs w:val="21"/>
              </w:rPr>
              <w:t>开展</w:t>
            </w:r>
            <w:r>
              <w:rPr>
                <w:rFonts w:hint="eastAsia" w:ascii="宋体" w:hAnsi="宋体" w:eastAsia="宋体" w:cs="宋体"/>
                <w:color w:val="000000"/>
                <w:sz w:val="21"/>
                <w:szCs w:val="21"/>
              </w:rPr>
              <w:t>课堂</w:t>
            </w:r>
            <w:r>
              <w:rPr>
                <w:rFonts w:ascii="宋体" w:hAnsi="宋体" w:eastAsia="宋体" w:cs="宋体"/>
                <w:color w:val="000000"/>
                <w:sz w:val="21"/>
                <w:szCs w:val="21"/>
              </w:rPr>
              <w:t>教学</w:t>
            </w:r>
            <w:r>
              <w:rPr>
                <w:rFonts w:hint="eastAsia" w:ascii="宋体" w:hAnsi="宋体" w:eastAsia="宋体" w:cs="宋体"/>
                <w:color w:val="000000"/>
                <w:sz w:val="21"/>
                <w:szCs w:val="21"/>
              </w:rPr>
              <w:t>主题</w:t>
            </w:r>
            <w:r>
              <w:rPr>
                <w:rFonts w:ascii="宋体" w:hAnsi="宋体" w:eastAsia="宋体" w:cs="宋体"/>
                <w:color w:val="000000"/>
                <w:sz w:val="21"/>
                <w:szCs w:val="21"/>
              </w:rPr>
              <w:t>研讨</w:t>
            </w:r>
            <w:r>
              <w:rPr>
                <w:rFonts w:hint="eastAsia" w:ascii="宋体" w:hAnsi="宋体" w:eastAsia="宋体" w:cs="宋体"/>
                <w:color w:val="000000"/>
                <w:sz w:val="21"/>
                <w:szCs w:val="21"/>
              </w:rPr>
              <w:t>活动，青浦区的金泽中学等强校工程学校老师们共同参与研讨活动，委托管理的优质资源得到了</w:t>
            </w:r>
            <w:r>
              <w:rPr>
                <w:rFonts w:hint="eastAsia" w:ascii="宋体" w:hAnsi="宋体" w:eastAsia="宋体" w:cs="宋体"/>
                <w:color w:val="000000"/>
                <w:sz w:val="21"/>
                <w:szCs w:val="21"/>
                <w:lang w:val="en-US" w:eastAsia="zh-CN"/>
              </w:rPr>
              <w:t>辐射</w:t>
            </w:r>
            <w:r>
              <w:rPr>
                <w:rFonts w:hint="eastAsia" w:ascii="宋体" w:hAnsi="宋体" w:eastAsia="宋体" w:cs="宋体"/>
                <w:color w:val="000000"/>
                <w:sz w:val="21"/>
                <w:szCs w:val="21"/>
              </w:rPr>
              <w:t>与共享。</w:t>
            </w:r>
          </w:p>
          <w:p>
            <w:pPr>
              <w:spacing w:line="276" w:lineRule="auto"/>
              <w:rPr>
                <w:rFonts w:ascii="宋体" w:hAnsi="宋体" w:eastAsia="宋体" w:cs="宋体"/>
                <w:color w:val="000000"/>
                <w:sz w:val="21"/>
                <w:szCs w:val="21"/>
              </w:rPr>
            </w:pPr>
            <w:r>
              <w:rPr>
                <w:rFonts w:ascii="宋体" w:hAnsi="宋体" w:eastAsia="宋体" w:cs="宋体"/>
                <w:color w:val="000000"/>
                <w:sz w:val="21"/>
                <w:szCs w:val="21"/>
              </w:rPr>
              <w:t>7.</w:t>
            </w:r>
            <w:r>
              <w:rPr>
                <w:rFonts w:hint="eastAsia" w:ascii="宋体" w:hAnsi="宋体" w:eastAsia="宋体" w:cs="宋体"/>
                <w:color w:val="000000"/>
                <w:sz w:val="21"/>
                <w:szCs w:val="21"/>
              </w:rPr>
              <w:t>疫情期间名师充分发挥线上培训资源，将名师的题库对学校教师无偿的全面开发，请市级学科专家进行网络专题培训、参与教研组网络活动，举行教学互动活动，把握重点化解难点。</w:t>
            </w:r>
          </w:p>
          <w:p>
            <w:pPr>
              <w:spacing w:line="276" w:lineRule="auto"/>
              <w:rPr>
                <w:rFonts w:ascii="宋体" w:hAnsi="宋体" w:eastAsia="宋体" w:cs="宋体"/>
                <w:color w:val="000000"/>
                <w:sz w:val="21"/>
                <w:szCs w:val="21"/>
              </w:rPr>
            </w:pPr>
            <w:r>
              <w:rPr>
                <w:rFonts w:ascii="宋体" w:hAnsi="宋体" w:eastAsia="宋体" w:cs="宋体"/>
                <w:color w:val="000000"/>
                <w:sz w:val="21"/>
                <w:szCs w:val="21"/>
              </w:rPr>
              <w:t>8.</w:t>
            </w:r>
            <w:r>
              <w:rPr>
                <w:rFonts w:hint="eastAsia" w:ascii="宋体" w:hAnsi="宋体" w:eastAsia="宋体" w:cs="宋体"/>
                <w:color w:val="000000"/>
                <w:sz w:val="21"/>
                <w:szCs w:val="21"/>
              </w:rPr>
              <w:t>由市级专家听课、评课、作专题讲座，市教研员语文曹刚老师《中考作文写作训练》、《现代文阅读（记叙文）指导》等；英语赵尚华老师《初中英语写作要点》、《以词汇为抓手开展词汇教学》等；数学刘达老师《复习课的有效设计与实施》、《综合题的命题分析与解题思路寻找》等指导各备课组进行集体备课，听课和评课，深入开展教研活动，加强单元作业设计，开展单元作业设计研究。受到老师们的好评。</w:t>
            </w:r>
          </w:p>
          <w:p>
            <w:pPr>
              <w:spacing w:line="276" w:lineRule="auto"/>
              <w:rPr>
                <w:rFonts w:ascii="宋体" w:hAnsi="宋体" w:eastAsia="宋体" w:cs="宋体"/>
                <w:color w:val="000000"/>
                <w:sz w:val="21"/>
                <w:szCs w:val="21"/>
              </w:rPr>
            </w:pPr>
            <w:r>
              <w:rPr>
                <w:rFonts w:ascii="宋体" w:hAnsi="宋体" w:eastAsia="宋体" w:cs="宋体"/>
                <w:color w:val="000000"/>
                <w:sz w:val="21"/>
                <w:szCs w:val="21"/>
              </w:rPr>
              <w:t>8.</w:t>
            </w:r>
            <w:r>
              <w:rPr>
                <w:rFonts w:hint="eastAsia" w:ascii="宋体" w:hAnsi="宋体" w:eastAsia="宋体" w:cs="宋体"/>
                <w:color w:val="000000"/>
                <w:sz w:val="21"/>
                <w:szCs w:val="21"/>
              </w:rPr>
              <w:t>开展各类教学研讨、评比活动，提升青年教师、骨干教师课堂教学能力。</w:t>
            </w:r>
          </w:p>
          <w:p>
            <w:pPr>
              <w:spacing w:line="276" w:lineRule="auto"/>
              <w:rPr>
                <w:rFonts w:ascii="宋体" w:hAnsi="宋体" w:eastAsia="宋体" w:cs="宋体"/>
                <w:color w:val="000000"/>
                <w:sz w:val="21"/>
                <w:szCs w:val="21"/>
              </w:rPr>
            </w:pPr>
            <w:r>
              <w:rPr>
                <w:rFonts w:ascii="宋体" w:hAnsi="宋体" w:eastAsia="宋体" w:cs="宋体"/>
                <w:color w:val="000000"/>
                <w:sz w:val="21"/>
                <w:szCs w:val="21"/>
              </w:rPr>
              <w:t>9.</w:t>
            </w:r>
            <w:r>
              <w:rPr>
                <w:rFonts w:hint="eastAsia" w:ascii="宋体" w:hAnsi="宋体" w:eastAsia="宋体" w:cs="宋体"/>
                <w:color w:val="000000"/>
                <w:sz w:val="21"/>
                <w:szCs w:val="21"/>
              </w:rPr>
              <w:t>各教研组在专家的指导下，进行绿色指标等相关文件的学习，研讨如何切实减轻学生学业负担。市教研员汪茂华博士《绿色指标解》，对照绿色指标的要求，调整评价标准，注重学生学习能力的培养，在三年中市、区级各类专家到学校人次</w:t>
            </w:r>
            <w:r>
              <w:rPr>
                <w:rFonts w:ascii="宋体" w:hAnsi="宋体" w:eastAsia="宋体" w:cs="宋体"/>
                <w:color w:val="000000"/>
                <w:sz w:val="21"/>
                <w:szCs w:val="21"/>
              </w:rPr>
              <w:t>180</w:t>
            </w:r>
            <w:r>
              <w:rPr>
                <w:rFonts w:hint="eastAsia" w:ascii="宋体" w:hAnsi="宋体" w:eastAsia="宋体" w:cs="宋体"/>
                <w:color w:val="000000"/>
                <w:sz w:val="21"/>
                <w:szCs w:val="21"/>
              </w:rPr>
              <w:t>左右。</w:t>
            </w:r>
          </w:p>
          <w:p>
            <w:pPr>
              <w:spacing w:line="276" w:lineRule="auto"/>
              <w:rPr>
                <w:rFonts w:ascii="宋体" w:hAnsi="宋体" w:eastAsia="宋体" w:cs="宋体"/>
                <w:color w:val="000000"/>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pPr>
              <w:rPr>
                <w:rFonts w:hint="eastAsia" w:eastAsia="宋体"/>
                <w:lang w:eastAsia="zh-CN"/>
              </w:rPr>
            </w:pPr>
            <w:r>
              <w:rPr>
                <w:rFonts w:hint="eastAsia" w:ascii="仿宋" w:hAnsi="仿宋" w:eastAsia="仿宋" w:cs="仿宋"/>
                <w:sz w:val="21"/>
                <w:szCs w:val="21"/>
                <w:lang w:val="en-US" w:eastAsia="zh-CN"/>
              </w:rPr>
              <w:t>3</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Pr>
          <w:p>
            <w:pPr>
              <w:rPr>
                <w:rFonts w:hint="eastAsia" w:eastAsia="宋体"/>
                <w:lang w:val="en-US" w:eastAsia="zh-CN"/>
              </w:rPr>
            </w:pPr>
            <w:r>
              <w:rPr>
                <w:rFonts w:hint="eastAsia" w:eastAsia="宋体"/>
                <w:lang w:val="en-US" w:eastAsia="zh-CN"/>
              </w:rPr>
              <w:t>7</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1155"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pPr>
              <w:rPr>
                <w:rFonts w:hint="eastAsia" w:eastAsia="宋体"/>
                <w:lang w:eastAsia="zh-CN"/>
              </w:rPr>
            </w:pPr>
            <w:r>
              <w:rPr>
                <w:rFonts w:hint="eastAsia" w:ascii="仿宋" w:hAnsi="仿宋" w:eastAsia="仿宋" w:cs="仿宋"/>
                <w:sz w:val="21"/>
                <w:szCs w:val="21"/>
                <w:lang w:val="en-US" w:eastAsia="zh-CN"/>
              </w:rPr>
              <w:t>4</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1155"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r>
              <w:rPr>
                <w:rFonts w:ascii="仿宋" w:hAnsi="仿宋" w:eastAsia="仿宋" w:cs="仿宋"/>
                <w:sz w:val="21"/>
                <w:szCs w:val="21"/>
              </w:rPr>
              <w:t>1</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36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2" w:lineRule="auto"/>
              <w:jc w:val="center"/>
            </w:pPr>
            <w:r>
              <w:rPr>
                <w:rFonts w:ascii="仿宋" w:hAnsi="仿宋" w:eastAsia="仿宋" w:cs="仿宋"/>
                <w:b/>
                <w:sz w:val="21"/>
                <w:szCs w:val="21"/>
              </w:rPr>
              <w:t>C13学生作业3</w:t>
            </w:r>
          </w:p>
        </w:tc>
        <w:tc>
          <w:tcPr>
            <w:tcW w:w="364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rPr>
                <w:rFonts w:ascii="宋体" w:hAnsi="宋体" w:eastAsia="宋体" w:cs="宋体"/>
                <w:color w:val="000000"/>
                <w:sz w:val="21"/>
                <w:szCs w:val="21"/>
              </w:rPr>
            </w:pPr>
            <w:r>
              <w:rPr>
                <w:rFonts w:ascii="宋体" w:hAnsi="宋体" w:eastAsia="宋体" w:cs="宋体"/>
                <w:color w:val="000000"/>
                <w:sz w:val="21"/>
                <w:szCs w:val="21"/>
              </w:rPr>
              <w:t>1.作业管理制度健全（1）</w:t>
            </w:r>
          </w:p>
          <w:p>
            <w:pPr>
              <w:spacing w:line="327" w:lineRule="auto"/>
              <w:rPr>
                <w:rFonts w:ascii="宋体" w:hAnsi="宋体" w:eastAsia="宋体" w:cs="宋体"/>
                <w:color w:val="000000"/>
                <w:sz w:val="21"/>
                <w:szCs w:val="21"/>
              </w:rPr>
            </w:pPr>
            <w:r>
              <w:rPr>
                <w:rFonts w:ascii="宋体" w:hAnsi="宋体" w:eastAsia="宋体" w:cs="宋体"/>
                <w:color w:val="000000"/>
                <w:sz w:val="21"/>
                <w:szCs w:val="21"/>
              </w:rPr>
              <w:t>2.作业总量和时间在国家相关政策规定范围之内（1）</w:t>
            </w:r>
          </w:p>
          <w:p>
            <w:pPr>
              <w:spacing w:line="327" w:lineRule="auto"/>
              <w:rPr>
                <w:rFonts w:ascii="宋体" w:hAnsi="宋体" w:eastAsia="宋体" w:cs="宋体"/>
                <w:color w:val="000000"/>
                <w:sz w:val="21"/>
                <w:szCs w:val="21"/>
              </w:rPr>
            </w:pPr>
            <w:r>
              <w:rPr>
                <w:rFonts w:ascii="宋体" w:hAnsi="宋体" w:eastAsia="宋体" w:cs="宋体"/>
                <w:color w:val="000000"/>
                <w:sz w:val="21"/>
                <w:szCs w:val="21"/>
              </w:rPr>
              <w:t>3.作业设计质量提高，作业完成指导到位（1）</w:t>
            </w:r>
          </w:p>
        </w:tc>
        <w:tc>
          <w:tcPr>
            <w:tcW w:w="60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color w:val="000000"/>
                <w:sz w:val="21"/>
                <w:szCs w:val="21"/>
              </w:rPr>
            </w:pPr>
            <w:r>
              <w:rPr>
                <w:rFonts w:hint="eastAsia" w:ascii="宋体" w:hAnsi="宋体" w:eastAsia="宋体" w:cs="宋体"/>
                <w:color w:val="000000"/>
                <w:sz w:val="21"/>
                <w:szCs w:val="21"/>
              </w:rPr>
              <w:t>1.作业管理制度健全。建立了《重固中学作业管理实施方案》，《重固中学学生睡眠管理实施方案》、《重固中学学生手机使用管理办法》、严格实行作业公示制度，各学科作业当日张贴在“作业公示墙”。 学校重视作业设计，将作业设计列入教师备课及教研活动的重要内容，以提高作业的针对性与实效性。</w:t>
            </w:r>
          </w:p>
          <w:p>
            <w:pPr>
              <w:spacing w:line="276" w:lineRule="auto"/>
              <w:rPr>
                <w:rFonts w:ascii="宋体" w:hAnsi="宋体" w:eastAsia="宋体" w:cs="宋体"/>
                <w:color w:val="000000"/>
                <w:sz w:val="21"/>
                <w:szCs w:val="21"/>
              </w:rPr>
            </w:pPr>
            <w:r>
              <w:rPr>
                <w:rFonts w:hint="eastAsia" w:ascii="宋体" w:hAnsi="宋体" w:eastAsia="宋体" w:cs="宋体"/>
                <w:color w:val="000000"/>
                <w:sz w:val="21"/>
                <w:szCs w:val="21"/>
              </w:rPr>
              <w:t>2.每个班级都设立“作业公示墙”，各学科作业当日公示张贴在“作业公示墙”，由年级组长、备课组长每日对作业进行监控管理，严格按照国家相关政策执行。</w:t>
            </w:r>
          </w:p>
          <w:p>
            <w:pPr>
              <w:spacing w:line="276" w:lineRule="auto"/>
              <w:rPr>
                <w:rFonts w:ascii="宋体" w:hAnsi="宋体" w:eastAsia="宋体" w:cs="宋体"/>
                <w:color w:val="000000"/>
                <w:sz w:val="21"/>
                <w:szCs w:val="21"/>
              </w:rPr>
            </w:pPr>
            <w:r>
              <w:rPr>
                <w:rFonts w:hint="eastAsia" w:ascii="宋体" w:hAnsi="宋体" w:eastAsia="宋体" w:cs="宋体"/>
                <w:color w:val="000000"/>
                <w:sz w:val="21"/>
                <w:szCs w:val="21"/>
              </w:rPr>
              <w:t>3. 将作业设计列入教师备课及教研活动之中，提高作业设计的针对性与实效性，提升作业设计质量，学校每学期开展一次“好作业我来设计”评选活动。</w:t>
            </w: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r>
              <w:rPr>
                <w:rFonts w:ascii="仿宋" w:hAnsi="仿宋" w:eastAsia="仿宋" w:cs="仿宋"/>
                <w:b/>
                <w:sz w:val="21"/>
                <w:szCs w:val="21"/>
              </w:rPr>
              <w:t>1</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r>
              <w:rPr>
                <w:rFonts w:ascii="仿宋" w:hAnsi="仿宋" w:eastAsia="仿宋" w:cs="仿宋"/>
                <w:b/>
                <w:sz w:val="21"/>
                <w:szCs w:val="21"/>
              </w:rPr>
              <w:t>3</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36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p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color w:val="8EB4E3" w:themeColor="text2" w:themeTint="66"/>
                <w:sz w:val="21"/>
                <w:szCs w:val="21"/>
                <w14:textFill>
                  <w14:solidFill>
                    <w14:schemeClr w14:val="tx2">
                      <w14:lumMod w14:val="40000"/>
                      <w14:lumOff w14:val="60000"/>
                    </w14:schemeClr>
                  </w14:solidFill>
                </w14:textFill>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r>
              <w:rPr>
                <w:rFonts w:ascii="仿宋" w:hAnsi="仿宋" w:eastAsia="仿宋" w:cs="仿宋"/>
                <w:b/>
                <w:sz w:val="21"/>
                <w:szCs w:val="21"/>
              </w:rPr>
              <w:t>1</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36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p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color w:val="8EB4E3" w:themeColor="text2" w:themeTint="66"/>
                <w:sz w:val="21"/>
                <w:szCs w:val="21"/>
                <w14:textFill>
                  <w14:solidFill>
                    <w14:schemeClr w14:val="tx2">
                      <w14:lumMod w14:val="40000"/>
                      <w14:lumOff w14:val="60000"/>
                    </w14:schemeClr>
                  </w14:solidFill>
                </w14:textFill>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r>
              <w:rPr>
                <w:rFonts w:ascii="仿宋" w:hAnsi="仿宋" w:eastAsia="仿宋" w:cs="仿宋"/>
                <w:b/>
                <w:sz w:val="21"/>
                <w:szCs w:val="21"/>
              </w:rPr>
              <w:t>1</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30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C14课后服务2</w:t>
            </w:r>
          </w:p>
        </w:tc>
        <w:tc>
          <w:tcPr>
            <w:tcW w:w="364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color w:val="000000"/>
                <w:sz w:val="21"/>
                <w:szCs w:val="21"/>
              </w:rPr>
            </w:pPr>
            <w:r>
              <w:rPr>
                <w:rFonts w:ascii="宋体" w:hAnsi="宋体" w:eastAsia="宋体" w:cs="宋体"/>
                <w:color w:val="000000"/>
                <w:sz w:val="21"/>
                <w:szCs w:val="21"/>
              </w:rPr>
              <w:t>1.课后服务做到学生愿留尽留全覆盖（1）</w:t>
            </w:r>
          </w:p>
          <w:p>
            <w:pPr>
              <w:spacing w:line="327" w:lineRule="auto"/>
              <w:rPr>
                <w:rFonts w:ascii="宋体" w:hAnsi="宋体" w:eastAsia="宋体" w:cs="宋体"/>
                <w:color w:val="000000"/>
                <w:sz w:val="21"/>
                <w:szCs w:val="21"/>
              </w:rPr>
            </w:pPr>
            <w:r>
              <w:rPr>
                <w:rFonts w:ascii="宋体" w:hAnsi="宋体" w:eastAsia="宋体" w:cs="宋体"/>
                <w:color w:val="000000"/>
                <w:sz w:val="21"/>
                <w:szCs w:val="21"/>
              </w:rPr>
              <w:t>2.课后服务时间达标、服务内容丰富、服务质量有保障，没有利用课后服务时间讲新课现象（1）</w:t>
            </w:r>
          </w:p>
          <w:p>
            <w:pPr>
              <w:spacing w:line="327" w:lineRule="auto"/>
              <w:rPr>
                <w:rFonts w:ascii="宋体" w:hAnsi="宋体" w:eastAsia="宋体" w:cs="宋体"/>
                <w:color w:val="000000"/>
                <w:sz w:val="21"/>
                <w:szCs w:val="21"/>
              </w:rPr>
            </w:p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color w:val="000000"/>
                <w:sz w:val="21"/>
                <w:szCs w:val="21"/>
              </w:rPr>
            </w:pPr>
          </w:p>
        </w:tc>
        <w:tc>
          <w:tcPr>
            <w:tcW w:w="1005" w:type="dxa"/>
            <w:vMerge w:val="restart"/>
            <w:tcBorders>
              <w:top w:val="single" w:color="000000" w:sz="8" w:space="0"/>
              <w:left w:val="single" w:color="000000" w:sz="8" w:space="0"/>
              <w:bottom w:val="single" w:color="000000" w:sz="8" w:space="0"/>
              <w:right w:val="single" w:color="000000" w:sz="8" w:space="0"/>
            </w:tcBorders>
            <w:shd w:val="clear" w:color="auto" w:fill="auto"/>
          </w:tcPr>
          <w:p>
            <w:r>
              <w:rPr>
                <w:rFonts w:ascii="仿宋" w:hAnsi="仿宋" w:eastAsia="仿宋" w:cs="仿宋"/>
                <w:b/>
                <w:sz w:val="21"/>
                <w:szCs w:val="21"/>
              </w:rPr>
              <w:t>1</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Pr>
          <w:p>
            <w:r>
              <w:rPr>
                <w:rFonts w:ascii="仿宋" w:hAnsi="仿宋" w:eastAsia="仿宋" w:cs="仿宋"/>
                <w:b/>
                <w:sz w:val="21"/>
                <w:szCs w:val="21"/>
              </w:rPr>
              <w:t>2</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144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color w:val="000000"/>
                <w:sz w:val="21"/>
                <w:szCs w:val="21"/>
              </w:rPr>
            </w:pPr>
          </w:p>
        </w:tc>
        <w:tc>
          <w:tcPr>
            <w:tcW w:w="60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numPr>
                <w:ilvl w:val="0"/>
                <w:numId w:val="1"/>
              </w:numPr>
              <w:spacing w:line="276" w:lineRule="auto"/>
              <w:rPr>
                <w:rFonts w:ascii="宋体" w:hAnsi="宋体" w:eastAsia="宋体" w:cs="宋体"/>
                <w:color w:val="000000"/>
                <w:sz w:val="21"/>
                <w:szCs w:val="21"/>
              </w:rPr>
            </w:pPr>
            <w:r>
              <w:rPr>
                <w:rFonts w:hint="eastAsia" w:ascii="宋体" w:hAnsi="宋体" w:eastAsia="宋体" w:cs="宋体"/>
                <w:color w:val="000000"/>
                <w:sz w:val="21"/>
                <w:szCs w:val="21"/>
              </w:rPr>
              <w:t>重固中学是农村学校，学生的家庭情况比较复杂，所以我们制定了《重固中学课后服务工作实施方案》、课后服务参与征询单、课后服务排片表等，根据家长的需求，为每个家庭，为家长解除后顾之忧。</w:t>
            </w:r>
          </w:p>
          <w:p>
            <w:pPr>
              <w:numPr>
                <w:ilvl w:val="0"/>
                <w:numId w:val="1"/>
              </w:numPr>
              <w:spacing w:line="276" w:lineRule="auto"/>
              <w:rPr>
                <w:rFonts w:ascii="宋体" w:hAnsi="宋体" w:eastAsia="宋体" w:cs="宋体"/>
                <w:color w:val="000000"/>
                <w:sz w:val="21"/>
                <w:szCs w:val="21"/>
              </w:rPr>
            </w:pPr>
            <w:r>
              <w:rPr>
                <w:rFonts w:hint="eastAsia" w:ascii="宋体" w:hAnsi="宋体" w:eastAsia="宋体" w:cs="宋体"/>
                <w:color w:val="000000"/>
                <w:sz w:val="21"/>
                <w:szCs w:val="21"/>
              </w:rPr>
              <w:t>学校全面落实课后服务工作要求，做到愿留尽留全覆盖，覆盖率为1</w:t>
            </w:r>
            <w:r>
              <w:rPr>
                <w:rFonts w:ascii="宋体" w:hAnsi="宋体" w:eastAsia="宋体" w:cs="宋体"/>
                <w:color w:val="000000"/>
                <w:sz w:val="21"/>
                <w:szCs w:val="21"/>
              </w:rPr>
              <w:t>00</w:t>
            </w:r>
            <w:r>
              <w:rPr>
                <w:rFonts w:hint="eastAsia" w:ascii="宋体" w:hAnsi="宋体" w:eastAsia="宋体" w:cs="宋体"/>
                <w:color w:val="000000"/>
                <w:sz w:val="21"/>
                <w:szCs w:val="21"/>
              </w:rPr>
              <w:t>%。课后服务内容丰富，学生积极参加各类活动课兴趣课、“福泉”课程及提优补差辅导等课后服务活动。</w:t>
            </w:r>
          </w:p>
          <w:p>
            <w:pPr>
              <w:spacing w:line="276" w:lineRule="auto"/>
              <w:rPr>
                <w:rFonts w:ascii="宋体" w:hAnsi="宋体" w:eastAsia="宋体" w:cs="宋体"/>
                <w:color w:val="000000"/>
                <w:sz w:val="21"/>
                <w:szCs w:val="21"/>
              </w:rPr>
            </w:pPr>
          </w:p>
        </w:tc>
        <w:tc>
          <w:tcPr>
            <w:tcW w:w="1005"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72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p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r>
              <w:rPr>
                <w:rFonts w:ascii="仿宋" w:hAnsi="仿宋" w:eastAsia="仿宋" w:cs="仿宋"/>
                <w:b/>
                <w:sz w:val="21"/>
                <w:szCs w:val="21"/>
              </w:rPr>
              <w:t>1</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795"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B7</w:t>
            </w:r>
          </w:p>
          <w:p>
            <w:pPr>
              <w:spacing w:line="327" w:lineRule="auto"/>
              <w:jc w:val="center"/>
            </w:pPr>
            <w:r>
              <w:rPr>
                <w:rFonts w:ascii="仿宋" w:hAnsi="仿宋" w:eastAsia="仿宋" w:cs="仿宋"/>
                <w:b/>
                <w:sz w:val="21"/>
                <w:szCs w:val="21"/>
              </w:rPr>
              <w:t>队伍建设12</w:t>
            </w: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C15师德师风2</w:t>
            </w:r>
          </w:p>
        </w:tc>
        <w:tc>
          <w:tcPr>
            <w:tcW w:w="364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r>
              <w:rPr>
                <w:rFonts w:ascii="仿宋" w:hAnsi="仿宋" w:eastAsia="仿宋" w:cs="仿宋"/>
                <w:sz w:val="21"/>
                <w:szCs w:val="21"/>
              </w:rPr>
              <w:t>1.教师平等对待每一位学生，关注每一位学生全面发展（1）</w:t>
            </w:r>
          </w:p>
          <w:p>
            <w:pPr>
              <w:spacing w:line="327" w:lineRule="auto"/>
            </w:pPr>
            <w:r>
              <w:rPr>
                <w:rFonts w:ascii="仿宋" w:hAnsi="仿宋" w:eastAsia="仿宋" w:cs="仿宋"/>
                <w:sz w:val="21"/>
                <w:szCs w:val="21"/>
              </w:rPr>
              <w:t>2.学校树立师德师风先进典型，以点带面，促进教师育德能力整体提升（1）</w:t>
            </w:r>
          </w:p>
        </w:tc>
        <w:tc>
          <w:tcPr>
            <w:tcW w:w="60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sz w:val="21"/>
                <w:szCs w:val="21"/>
              </w:rPr>
            </w:pPr>
            <w:r>
              <w:rPr>
                <w:rFonts w:hint="eastAsia" w:ascii="宋体" w:hAnsi="宋体" w:eastAsia="宋体" w:cs="宋体"/>
                <w:color w:val="000000"/>
                <w:sz w:val="21"/>
                <w:szCs w:val="21"/>
              </w:rPr>
              <w:t>1. 学校积极有序推进师德师风建设，申报了以《家校合力铸师魂 学校诉求明方向》为主题的师德师风建设项目。制定了《重固中学师德师风考核方案》、《重固中学教师日常行为规范》、《重固中学教师职业道德规范》等文件，进一步完善学校管理，明确教师行为底线。加强日常学习，通过楷模、党员、教师三个层面的宣讲教育，引导教师自觉提升自身师德修养，倡导敬业爱岗工作作风和甘于奉献的职业境界；依托学校工会，设计开展指向教师身心健康的工会系列活动，特别关注教师心理健康，为培育高尚师德师风保驾护航。努力打造师德高尚、业务优良、身心健康的教师队伍，积极探索重固中学师德建设与考评机制的内容、原则、途径和方法等，形成师德建设中的教育培训机制、激励动力机制、监督制约机制、考核评价机制。</w:t>
            </w:r>
          </w:p>
          <w:p>
            <w:pPr>
              <w:spacing w:line="276" w:lineRule="auto"/>
              <w:rPr>
                <w:rFonts w:ascii="宋体" w:hAnsi="宋体" w:eastAsia="宋体" w:cs="宋体"/>
                <w:sz w:val="21"/>
                <w:szCs w:val="21"/>
              </w:rPr>
            </w:pPr>
            <w:r>
              <w:rPr>
                <w:rFonts w:hint="eastAsia" w:ascii="宋体" w:hAnsi="宋体" w:eastAsia="宋体" w:cs="宋体"/>
                <w:color w:val="000000"/>
                <w:sz w:val="21"/>
                <w:szCs w:val="21"/>
              </w:rPr>
              <w:t>2.学校树立师德师风先进典型，以点带面，促进教师育德能力整体提升。三年中有2位老师荣获青浦区教育系统园丁奖，2位老师荣获青浦区教育系统记功，21位老师荣获青浦区教育系统嘉奖。同时发挥党员的先锋模范作用，开展党员群众结对活动，形成良好的“传、帮、带”机制。</w:t>
            </w: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r>
              <w:rPr>
                <w:rFonts w:ascii="仿宋" w:hAnsi="仿宋" w:eastAsia="仿宋" w:cs="仿宋"/>
                <w:b/>
                <w:sz w:val="21"/>
                <w:szCs w:val="21"/>
              </w:rPr>
              <w:t>1</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r>
              <w:rPr>
                <w:rFonts w:ascii="仿宋" w:hAnsi="仿宋" w:eastAsia="仿宋" w:cs="仿宋"/>
                <w:b/>
                <w:sz w:val="21"/>
                <w:szCs w:val="21"/>
              </w:rPr>
              <w:t>2</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rPr>
                <w:rFonts w:hint="default" w:eastAsia="宋体"/>
                <w:lang w:val="en-US" w:eastAsia="zh-CN"/>
              </w:rPr>
            </w:pPr>
            <w:r>
              <w:rPr>
                <w:rFonts w:hint="eastAsia" w:ascii="仿宋" w:hAnsi="仿宋" w:eastAsia="仿宋" w:cs="仿宋"/>
                <w:b/>
                <w:sz w:val="21"/>
                <w:szCs w:val="21"/>
                <w:lang w:val="en-US" w:eastAsia="zh-CN"/>
              </w:rPr>
              <w:t>12</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795"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r>
              <w:rPr>
                <w:rFonts w:ascii="仿宋" w:hAnsi="仿宋" w:eastAsia="仿宋" w:cs="仿宋"/>
                <w:b/>
                <w:sz w:val="21"/>
                <w:szCs w:val="21"/>
              </w:rPr>
              <w:t>1</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72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C16专业发展8</w:t>
            </w:r>
          </w:p>
        </w:tc>
        <w:tc>
          <w:tcPr>
            <w:tcW w:w="364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pPr>
            <w:r>
              <w:rPr>
                <w:rFonts w:ascii="仿宋" w:hAnsi="仿宋" w:eastAsia="仿宋" w:cs="仿宋"/>
                <w:sz w:val="21"/>
                <w:szCs w:val="21"/>
              </w:rPr>
              <w:t>1.学校有队伍建设整体规划，教师有个人专业发展规划，学校支持措施到位，过程管理规范，目标达成度高（1）</w:t>
            </w:r>
          </w:p>
          <w:p>
            <w:pPr>
              <w:spacing w:line="327" w:lineRule="auto"/>
            </w:pPr>
            <w:r>
              <w:rPr>
                <w:rFonts w:ascii="仿宋" w:hAnsi="仿宋" w:eastAsia="仿宋" w:cs="仿宋"/>
                <w:sz w:val="21"/>
                <w:szCs w:val="21"/>
              </w:rPr>
              <w:t>2.学校校本教研、培训和教育科研制度健全，教师分层分类培养机制完善，重视青年教师培养（2）</w:t>
            </w:r>
          </w:p>
          <w:p>
            <w:pPr>
              <w:spacing w:line="327" w:lineRule="auto"/>
            </w:pPr>
            <w:r>
              <w:rPr>
                <w:rFonts w:ascii="仿宋" w:hAnsi="仿宋" w:eastAsia="仿宋" w:cs="仿宋"/>
                <w:sz w:val="21"/>
                <w:szCs w:val="21"/>
              </w:rPr>
              <w:t>3.托管以来，教师队伍成长情况（包括职称晋升、青年教师进步、市区级骨干或名师数量增长、参与各级教育科研的教师占比变化、教科研成果及获奖等）（4）</w:t>
            </w:r>
          </w:p>
          <w:p>
            <w:pPr>
              <w:spacing w:line="327" w:lineRule="auto"/>
            </w:pPr>
            <w:r>
              <w:rPr>
                <w:rFonts w:ascii="仿宋" w:hAnsi="仿宋" w:eastAsia="仿宋" w:cs="仿宋"/>
                <w:sz w:val="21"/>
                <w:szCs w:val="21"/>
              </w:rPr>
              <w:t>4.受援校校长能力提升情况等（1）</w:t>
            </w:r>
          </w:p>
        </w:tc>
        <w:tc>
          <w:tcPr>
            <w:tcW w:w="60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color w:val="000000"/>
                <w:sz w:val="21"/>
                <w:szCs w:val="21"/>
              </w:rPr>
            </w:pPr>
            <w:r>
              <w:rPr>
                <w:rFonts w:hint="eastAsia" w:ascii="宋体" w:hAnsi="宋体" w:eastAsia="宋体" w:cs="宋体"/>
                <w:color w:val="000000"/>
                <w:sz w:val="21"/>
                <w:szCs w:val="21"/>
              </w:rPr>
              <w:t>1.托管方案注重教师队伍分层培养，形成梯队。《1～5年青年教师三年培养行动计划》、《重固中学骨干教师培养措施和方法》、《重固中学老教师培养计划》、《重固中学青年教师培养三年计划》、《重固中学关于加强新青年教师培养的校本培训》、《重固中学教育科研管理办法》等，健全教师聘用、考核、评价机制，制定并完善了《重固中学人事管理制度》。用制度规范的同时，关注教师思想引领，通过签订承诺书、项目推进、学习文件、榜样力量、建立考核指标等方式规范教师，培养教师；</w:t>
            </w:r>
          </w:p>
          <w:p>
            <w:pPr>
              <w:spacing w:line="276" w:lineRule="auto"/>
              <w:rPr>
                <w:rFonts w:ascii="宋体" w:hAnsi="宋体" w:eastAsia="宋体" w:cs="宋体"/>
                <w:color w:val="000000"/>
                <w:sz w:val="21"/>
                <w:szCs w:val="21"/>
              </w:rPr>
            </w:pPr>
            <w:r>
              <w:rPr>
                <w:rFonts w:hint="eastAsia" w:ascii="宋体" w:hAnsi="宋体" w:eastAsia="宋体" w:cs="宋体"/>
                <w:color w:val="000000"/>
                <w:sz w:val="21"/>
                <w:szCs w:val="21"/>
              </w:rPr>
              <w:t>2.学科专家带教中青年教师，结对拜师，签订带教协议，语文1名、数学1名、外语2名、物理1名、化学1名；坚持听课评课一对一的带教，助力青年教师成长，争取一年入门，三年站稳，五年出成绩，组织全校教师进行全员培训，教师梯队已逐步形成。</w:t>
            </w:r>
          </w:p>
          <w:p>
            <w:pPr>
              <w:spacing w:line="276" w:lineRule="auto"/>
              <w:rPr>
                <w:rFonts w:ascii="宋体" w:hAnsi="宋体" w:eastAsia="宋体" w:cs="宋体"/>
                <w:color w:val="000000"/>
                <w:sz w:val="21"/>
                <w:szCs w:val="21"/>
              </w:rPr>
            </w:pPr>
            <w:r>
              <w:rPr>
                <w:rFonts w:ascii="宋体" w:hAnsi="宋体" w:eastAsia="宋体" w:cs="宋体"/>
                <w:color w:val="000000"/>
                <w:sz w:val="21"/>
                <w:szCs w:val="21"/>
              </w:rPr>
              <w:t>3.</w:t>
            </w:r>
            <w:r>
              <w:rPr>
                <w:rFonts w:hint="eastAsia" w:ascii="宋体" w:hAnsi="宋体" w:eastAsia="宋体" w:cs="宋体"/>
                <w:color w:val="000000"/>
                <w:sz w:val="21"/>
                <w:szCs w:val="21"/>
              </w:rPr>
              <w:t>.通过精准托管，加强干部队伍的培养，有3位教师走上了学校中层管理岗位干部，为学校管理团队注入了新鲜血液，学校管理团队的平均年龄明显下降，使行政队伍不断年轻化。</w:t>
            </w:r>
          </w:p>
          <w:p>
            <w:pPr>
              <w:spacing w:line="276" w:lineRule="auto"/>
              <w:rPr>
                <w:rFonts w:ascii="宋体" w:hAnsi="宋体" w:eastAsia="宋体" w:cs="宋体"/>
                <w:color w:val="000000"/>
                <w:sz w:val="21"/>
                <w:szCs w:val="21"/>
              </w:rPr>
            </w:pPr>
            <w:r>
              <w:rPr>
                <w:rFonts w:hint="eastAsia" w:ascii="宋体" w:hAnsi="宋体" w:eastAsia="宋体" w:cs="宋体"/>
                <w:color w:val="000000"/>
                <w:sz w:val="21"/>
                <w:szCs w:val="21"/>
              </w:rPr>
              <w:t>4.开展教师分层指导：组织、实施培养新教师校本计划；组织青年教师与名师结对；加强骨干教师培训；组织全校教师进行全员培训；经验教师梯队逐步形成，有1人晋升高级职称，1人晋升中级职称； 2022年3月，在青浦区第七届名优教师评选中，有3人荣获区示范教师称号，2人荣获区教学能手称号，5人荣获区教学骨干称号。</w:t>
            </w:r>
          </w:p>
          <w:p>
            <w:pPr>
              <w:spacing w:line="276" w:lineRule="auto"/>
              <w:rPr>
                <w:rFonts w:ascii="宋体" w:hAnsi="宋体" w:eastAsia="宋体" w:cs="宋体"/>
                <w:color w:val="000000"/>
                <w:sz w:val="21"/>
                <w:szCs w:val="21"/>
              </w:rPr>
            </w:pPr>
            <w:r>
              <w:rPr>
                <w:rFonts w:hint="eastAsia" w:ascii="宋体" w:hAnsi="宋体" w:eastAsia="宋体" w:cs="宋体"/>
                <w:color w:val="000000"/>
                <w:sz w:val="21"/>
                <w:szCs w:val="21"/>
              </w:rPr>
              <w:t>5.何春美老师的区级课题《主题单元视角下，以大观念为指引的螺旋式课程的实践研究》（2021）获准立项研究，孙似汀老师的《PBL教学模式应用于初中物理实验课对培养科学探究素养的影响研究》（2022）申请立项。</w:t>
            </w:r>
          </w:p>
          <w:p>
            <w:pPr>
              <w:spacing w:line="276" w:lineRule="auto"/>
              <w:rPr>
                <w:rFonts w:ascii="宋体" w:hAnsi="宋体" w:eastAsia="宋体" w:cs="宋体"/>
                <w:color w:val="000000"/>
                <w:sz w:val="21"/>
                <w:szCs w:val="21"/>
              </w:rPr>
            </w:pPr>
            <w:r>
              <w:rPr>
                <w:rFonts w:hint="eastAsia" w:ascii="宋体" w:hAnsi="宋体" w:eastAsia="宋体" w:cs="宋体"/>
                <w:color w:val="000000"/>
                <w:sz w:val="21"/>
                <w:szCs w:val="21"/>
              </w:rPr>
              <w:t>6.2021学年至今，各级各类奖项众多（见表）。</w:t>
            </w: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pPr>
              <w:rPr>
                <w:rFonts w:ascii="宋体" w:hAnsi="宋体" w:eastAsia="宋体" w:cs="宋体"/>
                <w:color w:val="000000"/>
                <w:sz w:val="21"/>
                <w:szCs w:val="21"/>
              </w:rPr>
            </w:pPr>
            <w:r>
              <w:rPr>
                <w:rFonts w:ascii="宋体" w:hAnsi="宋体" w:eastAsia="宋体" w:cs="宋体"/>
                <w:color w:val="000000"/>
                <w:sz w:val="21"/>
                <w:szCs w:val="21"/>
              </w:rPr>
              <w:t>1</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Pr>
          <w:p>
            <w:pPr>
              <w:rPr>
                <w:rFonts w:hint="eastAsia" w:eastAsia="宋体"/>
                <w:lang w:eastAsia="zh-CN"/>
              </w:rPr>
            </w:pPr>
            <w:r>
              <w:rPr>
                <w:rFonts w:hint="eastAsia" w:ascii="仿宋" w:hAnsi="仿宋" w:eastAsia="仿宋" w:cs="仿宋"/>
                <w:sz w:val="21"/>
                <w:szCs w:val="21"/>
                <w:lang w:val="en-US" w:eastAsia="zh-CN"/>
              </w:rPr>
              <w:t>8</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72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p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color w:val="000000"/>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72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p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color w:val="000000"/>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pP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4</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72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p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color w:val="000000"/>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pPr>
              <w:rPr>
                <w:rFonts w:ascii="宋体" w:hAnsi="宋体" w:eastAsia="宋体" w:cs="宋体"/>
                <w:color w:val="000000"/>
                <w:sz w:val="21"/>
                <w:szCs w:val="21"/>
              </w:rPr>
            </w:pPr>
            <w:r>
              <w:rPr>
                <w:rFonts w:ascii="宋体" w:hAnsi="宋体" w:eastAsia="宋体" w:cs="宋体"/>
                <w:color w:val="000000"/>
                <w:sz w:val="21"/>
                <w:szCs w:val="21"/>
              </w:rPr>
              <w:t>1</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675"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C17教师激励2</w:t>
            </w:r>
          </w:p>
        </w:tc>
        <w:tc>
          <w:tcPr>
            <w:tcW w:w="3643"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color w:val="000000"/>
                <w:sz w:val="21"/>
                <w:szCs w:val="21"/>
              </w:rPr>
            </w:pPr>
            <w:r>
              <w:rPr>
                <w:rFonts w:ascii="宋体" w:hAnsi="宋体" w:eastAsia="宋体" w:cs="宋体"/>
                <w:color w:val="000000"/>
                <w:sz w:val="21"/>
                <w:szCs w:val="21"/>
              </w:rPr>
              <w:t>学校建有完善的教师激励体系，如精神荣誉激励、专业发展激励、岗位晋升激励、绩效工资激励等（2）</w:t>
            </w:r>
          </w:p>
        </w:tc>
        <w:tc>
          <w:tcPr>
            <w:tcW w:w="6077" w:type="dxa"/>
            <w:tcBorders>
              <w:top w:val="single" w:color="000000" w:sz="8" w:space="0"/>
              <w:left w:val="single" w:color="000000" w:sz="8" w:space="0"/>
              <w:bottom w:val="single" w:color="000000" w:sz="8" w:space="0"/>
              <w:right w:val="single" w:color="000000" w:sz="8" w:space="0"/>
            </w:tcBorders>
            <w:shd w:val="clear" w:color="auto" w:fill="auto"/>
            <w:vAlign w:val="center"/>
          </w:tcPr>
          <w:p>
            <w:pPr>
              <w:numPr>
                <w:ilvl w:val="0"/>
                <w:numId w:val="2"/>
              </w:numPr>
              <w:spacing w:line="276" w:lineRule="auto"/>
              <w:rPr>
                <w:rFonts w:ascii="宋体" w:hAnsi="宋体" w:eastAsia="宋体" w:cs="宋体"/>
                <w:color w:val="000000"/>
                <w:sz w:val="21"/>
                <w:szCs w:val="21"/>
              </w:rPr>
            </w:pPr>
            <w:r>
              <w:rPr>
                <w:rFonts w:hint="eastAsia" w:ascii="宋体" w:hAnsi="宋体" w:eastAsia="宋体" w:cs="宋体"/>
                <w:color w:val="000000"/>
                <w:sz w:val="21"/>
                <w:szCs w:val="21"/>
              </w:rPr>
              <w:t>支援联盟学校马园根校长全面参与重固中学的精准托管工作。指导学校管理侧重与托管委员会共同研究教师激励制度和机制的建设，重固中学中层以上干部到中山学校进行考察学习中山学校的各项制度，回学校后，积极推进激励制度改革，取得好成效。</w:t>
            </w:r>
          </w:p>
          <w:p>
            <w:pPr>
              <w:numPr>
                <w:ilvl w:val="0"/>
                <w:numId w:val="2"/>
              </w:numPr>
              <w:spacing w:line="276" w:lineRule="auto"/>
              <w:rPr>
                <w:rFonts w:ascii="宋体" w:hAnsi="宋体" w:eastAsia="宋体" w:cs="宋体"/>
                <w:color w:val="000000"/>
                <w:sz w:val="21"/>
                <w:szCs w:val="21"/>
              </w:rPr>
            </w:pPr>
            <w:r>
              <w:rPr>
                <w:rFonts w:hint="eastAsia" w:ascii="宋体" w:hAnsi="宋体" w:eastAsia="宋体" w:cs="宋体"/>
                <w:color w:val="000000"/>
                <w:sz w:val="21"/>
                <w:szCs w:val="21"/>
              </w:rPr>
              <w:t xml:space="preserve">名师基地校长张人利校长一对一指导重固中学邓校长，传授管理秘籍；一对多的与中层干部面对面交流，讲管理案例，教操作方法；干部观念转变了，眼界拓宽了，工作效率也提高了。           </w:t>
            </w:r>
          </w:p>
          <w:p>
            <w:pPr>
              <w:numPr>
                <w:ilvl w:val="0"/>
                <w:numId w:val="2"/>
              </w:numPr>
              <w:spacing w:line="276" w:lineRule="auto"/>
              <w:rPr>
                <w:rFonts w:ascii="宋体" w:hAnsi="宋体" w:eastAsia="宋体" w:cs="宋体"/>
                <w:color w:val="000000"/>
                <w:sz w:val="21"/>
                <w:szCs w:val="21"/>
              </w:rPr>
            </w:pPr>
            <w:r>
              <w:rPr>
                <w:rFonts w:hint="eastAsia" w:ascii="宋体" w:hAnsi="宋体" w:eastAsia="宋体" w:cs="宋体"/>
                <w:color w:val="000000"/>
                <w:sz w:val="21"/>
                <w:szCs w:val="21"/>
              </w:rPr>
              <w:t>学校在多次学习取经后，于2</w:t>
            </w:r>
            <w:r>
              <w:rPr>
                <w:rFonts w:ascii="宋体" w:hAnsi="宋体" w:eastAsia="宋体" w:cs="宋体"/>
                <w:color w:val="000000"/>
                <w:sz w:val="21"/>
                <w:szCs w:val="21"/>
              </w:rPr>
              <w:t>021</w:t>
            </w:r>
            <w:r>
              <w:rPr>
                <w:rFonts w:hint="eastAsia" w:ascii="宋体" w:hAnsi="宋体" w:eastAsia="宋体" w:cs="宋体"/>
                <w:color w:val="000000"/>
                <w:sz w:val="21"/>
                <w:szCs w:val="21"/>
              </w:rPr>
              <w:t>年十月，修订、完善《重固中学绩效工资考核方案》，精准托管过程中，做到：奖惩制度坚决执行，人文关怀落实到人。大大激发干部、教师工作积极性，取得很好的效果。</w:t>
            </w: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pPr>
              <w:spacing w:line="290" w:lineRule="auto"/>
            </w:pPr>
            <w:r>
              <w:rPr>
                <w:rFonts w:ascii="仿宋" w:hAnsi="仿宋" w:eastAsia="仿宋" w:cs="仿宋"/>
                <w:b/>
                <w:sz w:val="21"/>
                <w:szCs w:val="21"/>
              </w:rPr>
              <w:t>2</w:t>
            </w:r>
          </w:p>
        </w:tc>
        <w:tc>
          <w:tcPr>
            <w:tcW w:w="840" w:type="dxa"/>
            <w:tcBorders>
              <w:top w:val="single" w:color="000000" w:sz="8" w:space="0"/>
              <w:left w:val="single" w:color="000000" w:sz="8" w:space="0"/>
              <w:bottom w:val="single" w:color="000000" w:sz="8" w:space="0"/>
              <w:right w:val="single" w:color="000000" w:sz="8" w:space="0"/>
            </w:tcBorders>
            <w:shd w:val="clear" w:color="auto" w:fill="auto"/>
          </w:tcPr>
          <w:p>
            <w:pPr>
              <w:spacing w:line="290" w:lineRule="auto"/>
            </w:pPr>
            <w:r>
              <w:rPr>
                <w:rFonts w:ascii="仿宋" w:hAnsi="仿宋" w:eastAsia="仿宋" w:cs="仿宋"/>
                <w:b/>
                <w:sz w:val="21"/>
                <w:szCs w:val="21"/>
              </w:rPr>
              <w:t>2</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290" w:lineRule="auto"/>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290" w:lineRule="auto"/>
            </w:p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555"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B8</w:t>
            </w:r>
          </w:p>
          <w:p>
            <w:pPr>
              <w:spacing w:line="327" w:lineRule="auto"/>
              <w:jc w:val="center"/>
            </w:pPr>
            <w:r>
              <w:rPr>
                <w:rFonts w:ascii="仿宋" w:hAnsi="仿宋" w:eastAsia="仿宋" w:cs="仿宋"/>
                <w:b/>
                <w:sz w:val="21"/>
                <w:szCs w:val="21"/>
              </w:rPr>
              <w:t>文化建设4</w:t>
            </w: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C18德育工作2</w:t>
            </w:r>
          </w:p>
        </w:tc>
        <w:tc>
          <w:tcPr>
            <w:tcW w:w="364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numPr>
                <w:ilvl w:val="0"/>
                <w:numId w:val="2"/>
              </w:numPr>
              <w:spacing w:line="276" w:lineRule="auto"/>
              <w:rPr>
                <w:rFonts w:ascii="宋体" w:hAnsi="宋体" w:eastAsia="宋体" w:cs="宋体"/>
                <w:color w:val="000000"/>
                <w:sz w:val="21"/>
                <w:szCs w:val="21"/>
              </w:rPr>
            </w:pPr>
            <w:r>
              <w:rPr>
                <w:rFonts w:hint="eastAsia" w:ascii="宋体" w:hAnsi="宋体" w:eastAsia="宋体" w:cs="宋体"/>
                <w:color w:val="000000"/>
                <w:sz w:val="21"/>
                <w:szCs w:val="21"/>
              </w:rPr>
              <w:t>1.</w:t>
            </w:r>
            <w:r>
              <w:rPr>
                <w:rFonts w:ascii="宋体" w:hAnsi="宋体" w:eastAsia="宋体" w:cs="宋体"/>
                <w:color w:val="000000"/>
                <w:sz w:val="21"/>
                <w:szCs w:val="21"/>
              </w:rPr>
              <w:t>德育常规工作机制完善，德育活动针对性强（1）</w:t>
            </w:r>
          </w:p>
          <w:p>
            <w:pPr>
              <w:numPr>
                <w:ilvl w:val="0"/>
                <w:numId w:val="2"/>
              </w:numPr>
              <w:spacing w:line="276" w:lineRule="auto"/>
              <w:rPr>
                <w:rFonts w:ascii="宋体" w:hAnsi="宋体" w:eastAsia="宋体" w:cs="宋体"/>
                <w:color w:val="000000"/>
                <w:sz w:val="21"/>
                <w:szCs w:val="21"/>
              </w:rPr>
            </w:pPr>
            <w:r>
              <w:rPr>
                <w:rFonts w:ascii="宋体" w:hAnsi="宋体" w:eastAsia="宋体" w:cs="宋体"/>
                <w:color w:val="000000"/>
                <w:sz w:val="21"/>
                <w:szCs w:val="21"/>
              </w:rPr>
              <w:t>2.共青团、少先队组织活动丰富，社会实践活动有计划、有保障（1）</w:t>
            </w:r>
          </w:p>
        </w:tc>
        <w:tc>
          <w:tcPr>
            <w:tcW w:w="60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numPr>
                <w:ilvl w:val="0"/>
                <w:numId w:val="2"/>
              </w:numPr>
              <w:spacing w:line="276" w:lineRule="auto"/>
              <w:rPr>
                <w:rFonts w:ascii="宋体" w:hAnsi="宋体" w:eastAsia="宋体" w:cs="宋体"/>
                <w:color w:val="000000"/>
                <w:sz w:val="21"/>
                <w:szCs w:val="21"/>
              </w:rPr>
            </w:pPr>
            <w:r>
              <w:rPr>
                <w:rFonts w:hint="eastAsia" w:ascii="宋体" w:hAnsi="宋体" w:eastAsia="宋体" w:cs="宋体"/>
                <w:color w:val="000000"/>
                <w:sz w:val="21"/>
                <w:szCs w:val="21"/>
              </w:rPr>
              <w:t>1.立足“立德树人”的根本任务，围绕“重德固本，成就幸福人生”的办学理念，以《中小学德育工作指南》为指导，结合自身发展的需要，将社会主义核心价值观教育融入教育教学全过程，构建德智体美劳五育并举的一体化立德体系，推进德育工作制度化常态化。紧紧抓住“</w:t>
            </w:r>
            <w:r>
              <w:rPr>
                <w:rFonts w:ascii="宋体" w:hAnsi="宋体" w:eastAsia="宋体" w:cs="宋体"/>
                <w:color w:val="000000"/>
                <w:sz w:val="21"/>
                <w:szCs w:val="21"/>
              </w:rPr>
              <w:t>4+2”</w:t>
            </w:r>
            <w:r>
              <w:rPr>
                <w:rFonts w:hint="eastAsia" w:ascii="宋体" w:hAnsi="宋体" w:eastAsia="宋体" w:cs="宋体"/>
                <w:color w:val="000000"/>
                <w:sz w:val="21"/>
                <w:szCs w:val="21"/>
              </w:rPr>
              <w:t>要求（“</w:t>
            </w:r>
            <w:r>
              <w:rPr>
                <w:rFonts w:ascii="宋体" w:hAnsi="宋体" w:eastAsia="宋体" w:cs="宋体"/>
                <w:color w:val="000000"/>
                <w:sz w:val="21"/>
                <w:szCs w:val="21"/>
              </w:rPr>
              <w:t>4”</w:t>
            </w:r>
            <w:r>
              <w:rPr>
                <w:rFonts w:hint="eastAsia" w:ascii="宋体" w:hAnsi="宋体" w:eastAsia="宋体" w:cs="宋体"/>
                <w:color w:val="000000"/>
                <w:sz w:val="21"/>
                <w:szCs w:val="21"/>
              </w:rPr>
              <w:t>：以促进学生幸福成长为核心，以德育课程推进为抓手，以自主管理为载体，以培养良好班风学风为落脚点；“</w:t>
            </w:r>
            <w:r>
              <w:rPr>
                <w:rFonts w:ascii="宋体" w:hAnsi="宋体" w:eastAsia="宋体" w:cs="宋体"/>
                <w:color w:val="000000"/>
                <w:sz w:val="21"/>
                <w:szCs w:val="21"/>
              </w:rPr>
              <w:t>2”</w:t>
            </w:r>
            <w:r>
              <w:rPr>
                <w:rFonts w:hint="eastAsia" w:ascii="宋体" w:hAnsi="宋体" w:eastAsia="宋体" w:cs="宋体"/>
                <w:color w:val="000000"/>
                <w:sz w:val="21"/>
                <w:szCs w:val="21"/>
              </w:rPr>
              <w:t>：加强班主任队伍建设和做实家校社合作），健全立德树人落实机制，加强队伍建设，规范常规管理，深化主题教育，创新德育品牌，切实落细落小，提高教育实效，为学生幸福人生奠基，培养有理想、有本领、有担当的时代新人。</w:t>
            </w:r>
          </w:p>
          <w:p>
            <w:pPr>
              <w:spacing w:line="276" w:lineRule="auto"/>
              <w:rPr>
                <w:rFonts w:ascii="宋体" w:hAnsi="宋体" w:eastAsia="宋体" w:cs="宋体"/>
                <w:color w:val="000000"/>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pPr>
              <w:spacing w:line="290" w:lineRule="auto"/>
            </w:pPr>
            <w:r>
              <w:rPr>
                <w:rFonts w:ascii="仿宋" w:hAnsi="仿宋" w:eastAsia="仿宋" w:cs="仿宋"/>
                <w:b/>
                <w:sz w:val="21"/>
                <w:szCs w:val="21"/>
              </w:rPr>
              <w:t>1</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Pr>
          <w:p>
            <w:pPr>
              <w:spacing w:line="290" w:lineRule="auto"/>
            </w:pPr>
            <w:r>
              <w:rPr>
                <w:rFonts w:ascii="仿宋" w:hAnsi="仿宋" w:eastAsia="仿宋" w:cs="仿宋"/>
                <w:b/>
                <w:sz w:val="21"/>
                <w:szCs w:val="21"/>
              </w:rPr>
              <w:t>2</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Pr>
          <w:p>
            <w:pPr>
              <w:spacing w:line="290" w:lineRule="auto"/>
            </w:pPr>
            <w:r>
              <w:rPr>
                <w:rFonts w:ascii="仿宋" w:hAnsi="仿宋" w:eastAsia="仿宋" w:cs="仿宋"/>
                <w:b/>
                <w:sz w:val="21"/>
                <w:szCs w:val="21"/>
              </w:rPr>
              <w:t>4</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290" w:lineRule="auto"/>
            </w:p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36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90" w:lineRule="auto"/>
            </w:p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pPr>
              <w:spacing w:line="290" w:lineRule="auto"/>
            </w:pPr>
            <w:r>
              <w:rPr>
                <w:rFonts w:ascii="仿宋" w:hAnsi="仿宋" w:eastAsia="仿宋" w:cs="仿宋"/>
                <w:b/>
                <w:sz w:val="21"/>
                <w:szCs w:val="21"/>
              </w:rPr>
              <w:t>1</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290" w:lineRule="auto"/>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290" w:lineRule="auto"/>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290" w:lineRule="auto"/>
            </w:p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75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C19校园文化2</w:t>
            </w:r>
          </w:p>
        </w:tc>
        <w:tc>
          <w:tcPr>
            <w:tcW w:w="364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90" w:lineRule="auto"/>
              <w:rPr>
                <w:rFonts w:ascii="宋体" w:hAnsi="宋体" w:eastAsia="宋体" w:cs="宋体"/>
                <w:color w:val="000000"/>
                <w:sz w:val="21"/>
                <w:szCs w:val="21"/>
              </w:rPr>
            </w:pPr>
            <w:r>
              <w:rPr>
                <w:rFonts w:hint="eastAsia" w:ascii="宋体" w:hAnsi="宋体" w:eastAsia="宋体" w:cs="宋体"/>
                <w:color w:val="000000"/>
                <w:sz w:val="21"/>
                <w:szCs w:val="21"/>
              </w:rPr>
              <w:t>1.</w:t>
            </w:r>
            <w:r>
              <w:rPr>
                <w:rFonts w:ascii="宋体" w:hAnsi="宋体" w:eastAsia="宋体" w:cs="宋体"/>
                <w:color w:val="000000"/>
                <w:sz w:val="21"/>
                <w:szCs w:val="21"/>
              </w:rPr>
              <w:t>形成体现办学理念的校园文化，校风、教风、学风良好，校园环境温馨，干群关系、师生关系和谐（1）</w:t>
            </w:r>
          </w:p>
          <w:p>
            <w:pPr>
              <w:spacing w:line="327" w:lineRule="auto"/>
              <w:rPr>
                <w:rFonts w:ascii="宋体" w:hAnsi="宋体" w:eastAsia="宋体" w:cs="宋体"/>
                <w:color w:val="000000"/>
                <w:sz w:val="21"/>
                <w:szCs w:val="21"/>
              </w:rPr>
            </w:pPr>
            <w:r>
              <w:rPr>
                <w:rFonts w:ascii="宋体" w:hAnsi="宋体" w:eastAsia="宋体" w:cs="宋体"/>
                <w:color w:val="000000"/>
                <w:sz w:val="21"/>
                <w:szCs w:val="21"/>
              </w:rPr>
              <w:t>2.各类校园文化活动有计划、有记录，内容丰富，学生参与面广（1）</w:t>
            </w:r>
          </w:p>
        </w:tc>
        <w:tc>
          <w:tcPr>
            <w:tcW w:w="60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color w:val="000000"/>
                <w:sz w:val="21"/>
                <w:szCs w:val="21"/>
              </w:rPr>
            </w:pPr>
            <w:r>
              <w:rPr>
                <w:rFonts w:hint="eastAsia" w:ascii="宋体" w:hAnsi="宋体" w:eastAsia="宋体" w:cs="宋体"/>
                <w:color w:val="000000"/>
                <w:sz w:val="21"/>
                <w:szCs w:val="21"/>
              </w:rPr>
              <w:t>1.通过“三风上墙”、“三风师生共学”、校徽佩戴仪式等活动，增进师生对学校三风的认识、认同，师生对学校有很强的归属感与认同感，上海名师与受援校干群关系、师生关系融洽，教学相长，文化融合，凝聚力强。</w:t>
            </w:r>
          </w:p>
          <w:p>
            <w:pPr>
              <w:spacing w:line="276" w:lineRule="auto"/>
              <w:rPr>
                <w:rFonts w:ascii="宋体" w:hAnsi="宋体" w:eastAsia="宋体" w:cs="宋体"/>
                <w:color w:val="000000"/>
                <w:sz w:val="21"/>
                <w:szCs w:val="21"/>
              </w:rPr>
            </w:pPr>
            <w:r>
              <w:rPr>
                <w:rFonts w:hint="eastAsia" w:ascii="宋体" w:hAnsi="宋体" w:eastAsia="宋体" w:cs="宋体"/>
                <w:color w:val="000000"/>
                <w:sz w:val="21"/>
                <w:szCs w:val="21"/>
              </w:rPr>
              <w:t>2.开展设计制作班级名片、美化墙面布置、精心设计黑板报等活动方式，持续坚持“温馨教室”的建设，让学生热爱学校，认同校园文化。</w:t>
            </w:r>
          </w:p>
          <w:p>
            <w:pPr>
              <w:spacing w:line="276" w:lineRule="auto"/>
              <w:rPr>
                <w:rFonts w:ascii="宋体" w:hAnsi="宋体" w:eastAsia="宋体" w:cs="宋体"/>
                <w:color w:val="000000"/>
                <w:sz w:val="21"/>
                <w:szCs w:val="21"/>
              </w:rPr>
            </w:pPr>
            <w:r>
              <w:rPr>
                <w:rFonts w:hint="eastAsia" w:ascii="宋体" w:hAnsi="宋体" w:eastAsia="宋体" w:cs="宋体"/>
                <w:color w:val="000000"/>
                <w:sz w:val="21"/>
                <w:szCs w:val="21"/>
              </w:rPr>
              <w:t>3.不断优化、完善校园环境，通过“福泉乐园”学校少年宫、“福泉耕读苑”劳动实践基地、四史教育长廊、宣传橱窗等场所建设，充分发挥环境育人效果。</w:t>
            </w:r>
          </w:p>
          <w:p>
            <w:pPr>
              <w:spacing w:line="276" w:lineRule="auto"/>
              <w:rPr>
                <w:rFonts w:ascii="宋体" w:hAnsi="宋体" w:eastAsia="宋体" w:cs="宋体"/>
                <w:color w:val="000000"/>
                <w:sz w:val="21"/>
                <w:szCs w:val="21"/>
              </w:rPr>
            </w:pPr>
            <w:r>
              <w:rPr>
                <w:rFonts w:hint="eastAsia" w:ascii="宋体" w:hAnsi="宋体" w:eastAsia="宋体" w:cs="宋体"/>
                <w:color w:val="000000"/>
                <w:sz w:val="21"/>
                <w:szCs w:val="21"/>
              </w:rPr>
              <w:t>4.以国庆节、中秋节、元旦、春节等传统节日或纪念日为契机，开展各类主题教育活动，丰富校园生活，厚植家国情怀，坚定文化自信，促学生全面发展。</w:t>
            </w:r>
          </w:p>
          <w:p>
            <w:pPr>
              <w:spacing w:line="276" w:lineRule="auto"/>
              <w:rPr>
                <w:rFonts w:ascii="宋体" w:hAnsi="宋体" w:eastAsia="宋体" w:cs="宋体"/>
                <w:color w:val="000000"/>
                <w:sz w:val="21"/>
                <w:szCs w:val="21"/>
              </w:rPr>
            </w:pPr>
            <w:r>
              <w:rPr>
                <w:rFonts w:hint="eastAsia" w:ascii="宋体" w:hAnsi="宋体" w:eastAsia="宋体" w:cs="宋体"/>
                <w:color w:val="000000"/>
                <w:sz w:val="21"/>
                <w:szCs w:val="21"/>
              </w:rPr>
              <w:t>5.学校荣获上海市安全文明校园、上海市绿色学校称号。</w:t>
            </w: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r>
              <w:rPr>
                <w:rFonts w:ascii="仿宋" w:hAnsi="仿宋" w:eastAsia="仿宋" w:cs="仿宋"/>
                <w:b/>
                <w:sz w:val="21"/>
                <w:szCs w:val="21"/>
              </w:rPr>
              <w:t>1</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Pr>
          <w:p>
            <w:r>
              <w:rPr>
                <w:rFonts w:ascii="仿宋" w:hAnsi="仿宋" w:eastAsia="仿宋" w:cs="仿宋"/>
                <w:b/>
                <w:sz w:val="21"/>
                <w:szCs w:val="21"/>
              </w:rPr>
              <w:t>2</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147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90" w:lineRule="auto"/>
            </w:p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r>
              <w:rPr>
                <w:rFonts w:ascii="仿宋" w:hAnsi="仿宋" w:eastAsia="仿宋" w:cs="仿宋"/>
                <w:b/>
                <w:sz w:val="21"/>
                <w:szCs w:val="21"/>
              </w:rPr>
              <w:t>1.</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885" w:hRule="atLeast"/>
          <w:jc w:val="center"/>
        </w:trPr>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A4</w:t>
            </w:r>
          </w:p>
          <w:p>
            <w:pPr>
              <w:spacing w:line="327" w:lineRule="auto"/>
              <w:jc w:val="center"/>
            </w:pPr>
            <w:r>
              <w:rPr>
                <w:rFonts w:ascii="仿宋" w:hAnsi="仿宋" w:eastAsia="仿宋" w:cs="仿宋"/>
                <w:b/>
                <w:sz w:val="21"/>
                <w:szCs w:val="21"/>
              </w:rPr>
              <w:t>综合判断15</w:t>
            </w:r>
          </w:p>
        </w:tc>
        <w:tc>
          <w:tcPr>
            <w:tcW w:w="5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*B9</w:t>
            </w:r>
          </w:p>
          <w:p>
            <w:pPr>
              <w:spacing w:line="327" w:lineRule="auto"/>
              <w:jc w:val="center"/>
            </w:pPr>
            <w:r>
              <w:rPr>
                <w:rFonts w:ascii="仿宋" w:hAnsi="仿宋" w:eastAsia="仿宋" w:cs="仿宋"/>
                <w:b/>
                <w:sz w:val="21"/>
                <w:szCs w:val="21"/>
              </w:rPr>
              <w:t>满意度9</w:t>
            </w: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C20教师满意度</w:t>
            </w:r>
          </w:p>
          <w:p>
            <w:pPr>
              <w:spacing w:line="327" w:lineRule="auto"/>
              <w:jc w:val="center"/>
            </w:pPr>
            <w:r>
              <w:rPr>
                <w:rFonts w:ascii="仿宋" w:hAnsi="仿宋" w:eastAsia="仿宋" w:cs="仿宋"/>
                <w:b/>
                <w:sz w:val="21"/>
                <w:szCs w:val="21"/>
              </w:rPr>
              <w:t>3</w:t>
            </w:r>
          </w:p>
        </w:tc>
        <w:tc>
          <w:tcPr>
            <w:tcW w:w="364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pPr>
            <w:r>
              <w:rPr>
                <w:rFonts w:ascii="仿宋" w:hAnsi="仿宋" w:eastAsia="仿宋" w:cs="仿宋"/>
                <w:sz w:val="21"/>
                <w:szCs w:val="21"/>
              </w:rPr>
              <w:t>1.教师对托管以来学校办学质量提高情况的满意率达90%及以上（1.5）</w:t>
            </w:r>
          </w:p>
          <w:p>
            <w:pPr>
              <w:spacing w:line="327" w:lineRule="auto"/>
            </w:pPr>
            <w:r>
              <w:rPr>
                <w:rFonts w:ascii="仿宋" w:hAnsi="仿宋" w:eastAsia="仿宋" w:cs="仿宋"/>
                <w:sz w:val="21"/>
                <w:szCs w:val="21"/>
              </w:rPr>
              <w:t>2.教师对托管工作的总体满意率达90%及以上（1.5）</w:t>
            </w:r>
          </w:p>
          <w:p>
            <w:pPr>
              <w:spacing w:line="327" w:lineRule="auto"/>
            </w:pPr>
            <w:r>
              <w:rPr>
                <w:rFonts w:ascii="仿宋" w:hAnsi="仿宋" w:eastAsia="仿宋" w:cs="仿宋"/>
                <w:sz w:val="21"/>
                <w:szCs w:val="21"/>
              </w:rPr>
              <w:t>（注：每降低一个百分点，扣0.1分）</w:t>
            </w:r>
          </w:p>
          <w:p>
            <w:pPr>
              <w:spacing w:line="327" w:lineRule="auto"/>
            </w:pPr>
          </w:p>
        </w:tc>
        <w:tc>
          <w:tcPr>
            <w:tcW w:w="60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sz w:val="21"/>
                <w:szCs w:val="21"/>
              </w:rPr>
            </w:pPr>
            <w:r>
              <w:rPr>
                <w:rFonts w:hint="eastAsia" w:ascii="宋体" w:hAnsi="宋体" w:eastAsia="宋体" w:cs="宋体"/>
                <w:color w:val="000000"/>
                <w:sz w:val="21"/>
                <w:szCs w:val="21"/>
              </w:rPr>
              <w:t>【问卷】见教师、家长和学生问卷调查结果</w:t>
            </w:r>
          </w:p>
        </w:tc>
        <w:tc>
          <w:tcPr>
            <w:tcW w:w="100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1.5</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r>
              <w:rPr>
                <w:rFonts w:ascii="仿宋" w:hAnsi="仿宋" w:eastAsia="仿宋" w:cs="仿宋"/>
                <w:b/>
                <w:sz w:val="21"/>
                <w:szCs w:val="21"/>
              </w:rPr>
              <w:t>3</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r>
              <w:rPr>
                <w:rFonts w:ascii="仿宋" w:hAnsi="仿宋" w:eastAsia="仿宋" w:cs="仿宋"/>
                <w:b/>
                <w:sz w:val="21"/>
                <w:szCs w:val="21"/>
              </w:rPr>
              <w:t>9</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rPr>
                <w:rFonts w:hint="eastAsia" w:eastAsia="仿宋"/>
                <w:lang w:eastAsia="zh-CN"/>
              </w:rPr>
            </w:pPr>
            <w:r>
              <w:rPr>
                <w:rFonts w:ascii="仿宋" w:hAnsi="仿宋" w:eastAsia="仿宋" w:cs="仿宋"/>
                <w:b/>
                <w:sz w:val="21"/>
                <w:szCs w:val="21"/>
              </w:rPr>
              <w:t>1</w:t>
            </w:r>
            <w:r>
              <w:rPr>
                <w:rFonts w:hint="eastAsia" w:ascii="仿宋" w:hAnsi="仿宋" w:eastAsia="仿宋" w:cs="仿宋"/>
                <w:b/>
                <w:sz w:val="21"/>
                <w:szCs w:val="21"/>
                <w:lang w:val="en-US" w:eastAsia="zh-CN"/>
              </w:rPr>
              <w:t>5</w:t>
            </w: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72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p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1.5</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66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C21家长满意度</w:t>
            </w:r>
          </w:p>
          <w:p>
            <w:pPr>
              <w:spacing w:line="327" w:lineRule="auto"/>
              <w:jc w:val="center"/>
            </w:pPr>
            <w:r>
              <w:rPr>
                <w:rFonts w:ascii="仿宋" w:hAnsi="仿宋" w:eastAsia="仿宋" w:cs="仿宋"/>
                <w:b/>
                <w:sz w:val="21"/>
                <w:szCs w:val="21"/>
              </w:rPr>
              <w:t>3</w:t>
            </w:r>
          </w:p>
        </w:tc>
        <w:tc>
          <w:tcPr>
            <w:tcW w:w="364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90" w:lineRule="auto"/>
            </w:pPr>
            <w:r>
              <w:rPr>
                <w:rFonts w:ascii="仿宋" w:hAnsi="仿宋" w:eastAsia="仿宋" w:cs="仿宋"/>
                <w:sz w:val="21"/>
                <w:szCs w:val="21"/>
              </w:rPr>
              <w:t>1.家长对托管以来学校办学质量提高情况的满意率达90%及以上（1）</w:t>
            </w:r>
          </w:p>
          <w:p>
            <w:pPr>
              <w:spacing w:line="290" w:lineRule="auto"/>
            </w:pPr>
            <w:r>
              <w:rPr>
                <w:rFonts w:ascii="仿宋" w:hAnsi="仿宋" w:eastAsia="仿宋" w:cs="仿宋"/>
                <w:sz w:val="21"/>
                <w:szCs w:val="21"/>
              </w:rPr>
              <w:t>2.家长对教师师德和工作态度的满意率达90%及以上（1）</w:t>
            </w:r>
          </w:p>
          <w:p>
            <w:pPr>
              <w:spacing w:line="327" w:lineRule="auto"/>
            </w:pPr>
            <w:r>
              <w:rPr>
                <w:rFonts w:ascii="仿宋" w:hAnsi="仿宋" w:eastAsia="仿宋" w:cs="仿宋"/>
                <w:sz w:val="21"/>
                <w:szCs w:val="21"/>
              </w:rPr>
              <w:t>3.家长对托管以来子女进步情况的满意率达90%及以上（1）</w:t>
            </w:r>
          </w:p>
          <w:p>
            <w:pPr>
              <w:spacing w:line="327" w:lineRule="auto"/>
            </w:pPr>
            <w:r>
              <w:rPr>
                <w:rFonts w:ascii="仿宋" w:hAnsi="仿宋" w:eastAsia="仿宋" w:cs="仿宋"/>
                <w:sz w:val="21"/>
                <w:szCs w:val="21"/>
              </w:rPr>
              <w:t>（注：每降低一个百分点，扣0.1分）</w:t>
            </w:r>
          </w:p>
        </w:tc>
        <w:tc>
          <w:tcPr>
            <w:tcW w:w="60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ind w:left="181"/>
              <w:jc w:val="center"/>
            </w:pPr>
            <w:r>
              <w:rPr>
                <w:rFonts w:ascii="仿宋" w:hAnsi="仿宋" w:eastAsia="仿宋" w:cs="仿宋"/>
                <w:b/>
                <w:sz w:val="21"/>
                <w:szCs w:val="21"/>
              </w:rPr>
              <w:t>1</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ind w:left="181"/>
            </w:pPr>
            <w:r>
              <w:rPr>
                <w:rFonts w:ascii="仿宋" w:hAnsi="仿宋" w:eastAsia="仿宋" w:cs="仿宋"/>
                <w:b/>
                <w:sz w:val="21"/>
                <w:szCs w:val="21"/>
              </w:rPr>
              <w:t>3</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ind w:left="181"/>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ind w:left="181"/>
            </w:p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66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90" w:lineRule="auto"/>
            </w:p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ind w:left="181"/>
              <w:jc w:val="center"/>
            </w:pPr>
            <w:r>
              <w:rPr>
                <w:rFonts w:ascii="仿宋" w:hAnsi="仿宋" w:eastAsia="仿宋" w:cs="仿宋"/>
                <w:b/>
                <w:sz w:val="21"/>
                <w:szCs w:val="21"/>
              </w:rPr>
              <w:t>1</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ind w:left="181"/>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ind w:left="181"/>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ind w:left="181"/>
            </w:p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66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90" w:lineRule="auto"/>
            </w:p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ind w:left="181"/>
              <w:jc w:val="center"/>
            </w:pPr>
            <w:r>
              <w:rPr>
                <w:rFonts w:ascii="仿宋" w:hAnsi="仿宋" w:eastAsia="仿宋" w:cs="仿宋"/>
                <w:b/>
                <w:sz w:val="21"/>
                <w:szCs w:val="21"/>
              </w:rPr>
              <w:t>1</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ind w:left="181"/>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ind w:left="181"/>
            </w:p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ind w:left="181"/>
            </w:p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99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C22学生满意度</w:t>
            </w:r>
          </w:p>
          <w:p>
            <w:pPr>
              <w:spacing w:line="327" w:lineRule="auto"/>
              <w:jc w:val="center"/>
            </w:pPr>
            <w:r>
              <w:rPr>
                <w:rFonts w:ascii="仿宋" w:hAnsi="仿宋" w:eastAsia="仿宋" w:cs="仿宋"/>
                <w:b/>
                <w:sz w:val="21"/>
                <w:szCs w:val="21"/>
              </w:rPr>
              <w:t>3</w:t>
            </w:r>
          </w:p>
        </w:tc>
        <w:tc>
          <w:tcPr>
            <w:tcW w:w="3643"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90" w:lineRule="auto"/>
            </w:pPr>
            <w:r>
              <w:rPr>
                <w:rFonts w:ascii="仿宋" w:hAnsi="仿宋" w:eastAsia="仿宋" w:cs="仿宋"/>
                <w:sz w:val="21"/>
                <w:szCs w:val="21"/>
              </w:rPr>
              <w:t>1.学生对托管以来学校整体变化的满意率达90%及以上（1.5）</w:t>
            </w:r>
          </w:p>
          <w:p>
            <w:pPr>
              <w:spacing w:line="290" w:lineRule="auto"/>
            </w:pPr>
            <w:r>
              <w:rPr>
                <w:rFonts w:ascii="仿宋" w:hAnsi="仿宋" w:eastAsia="仿宋" w:cs="仿宋"/>
                <w:sz w:val="21"/>
                <w:szCs w:val="21"/>
              </w:rPr>
              <w:t>2.学生对托管以来教师课堂教学的满意率达90%及以上（1.5）</w:t>
            </w:r>
          </w:p>
          <w:p>
            <w:pPr>
              <w:spacing w:line="290" w:lineRule="auto"/>
            </w:pPr>
            <w:r>
              <w:rPr>
                <w:rFonts w:ascii="仿宋" w:hAnsi="仿宋" w:eastAsia="仿宋" w:cs="仿宋"/>
                <w:sz w:val="21"/>
                <w:szCs w:val="21"/>
              </w:rPr>
              <w:t>（注：每降低一个百分点，扣0.1分）</w:t>
            </w:r>
          </w:p>
        </w:tc>
        <w:tc>
          <w:tcPr>
            <w:tcW w:w="6077"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r>
              <w:rPr>
                <w:rFonts w:ascii="仿宋" w:hAnsi="仿宋" w:eastAsia="仿宋" w:cs="仿宋"/>
                <w:b/>
                <w:sz w:val="21"/>
                <w:szCs w:val="21"/>
              </w:rPr>
              <w:t>1.5</w:t>
            </w:r>
          </w:p>
        </w:tc>
        <w:tc>
          <w:tcPr>
            <w:tcW w:w="840" w:type="dxa"/>
            <w:vMerge w:val="restart"/>
            <w:tcBorders>
              <w:top w:val="single" w:color="000000" w:sz="8" w:space="0"/>
              <w:left w:val="single" w:color="000000" w:sz="8" w:space="0"/>
              <w:bottom w:val="single" w:color="000000" w:sz="8" w:space="0"/>
              <w:right w:val="single" w:color="000000" w:sz="8" w:space="0"/>
            </w:tcBorders>
            <w:shd w:val="clear" w:color="auto" w:fill="auto"/>
          </w:tcPr>
          <w:p>
            <w:r>
              <w:rPr>
                <w:rFonts w:ascii="仿宋" w:hAnsi="仿宋" w:eastAsia="仿宋" w:cs="仿宋"/>
                <w:b/>
                <w:sz w:val="21"/>
                <w:szCs w:val="21"/>
              </w:rPr>
              <w:t>3</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99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11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p>
        </w:tc>
        <w:tc>
          <w:tcPr>
            <w:tcW w:w="3643"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90" w:lineRule="auto"/>
            </w:pPr>
          </w:p>
        </w:tc>
        <w:tc>
          <w:tcPr>
            <w:tcW w:w="6077"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sz w:val="21"/>
                <w:szCs w:val="21"/>
              </w:rPr>
            </w:pPr>
          </w:p>
        </w:tc>
        <w:tc>
          <w:tcPr>
            <w:tcW w:w="1005" w:type="dxa"/>
            <w:tcBorders>
              <w:top w:val="single" w:color="000000" w:sz="8" w:space="0"/>
              <w:left w:val="single" w:color="000000" w:sz="8" w:space="0"/>
              <w:bottom w:val="single" w:color="000000" w:sz="8" w:space="0"/>
              <w:right w:val="single" w:color="000000" w:sz="8" w:space="0"/>
            </w:tcBorders>
            <w:shd w:val="clear" w:color="auto" w:fill="auto"/>
          </w:tcPr>
          <w:p>
            <w:r>
              <w:rPr>
                <w:rFonts w:ascii="仿宋" w:hAnsi="仿宋" w:eastAsia="仿宋" w:cs="仿宋"/>
                <w:b/>
                <w:sz w:val="21"/>
                <w:szCs w:val="21"/>
              </w:rPr>
              <w:t>1.5</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630"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tcBorders>
              <w:top w:val="single" w:color="000000" w:sz="8" w:space="0"/>
              <w:left w:val="single" w:color="000000" w:sz="8" w:space="0"/>
              <w:bottom w:val="single" w:color="000000" w:sz="8" w:space="0"/>
              <w:right w:val="single" w:color="000000" w:sz="8" w:space="0"/>
            </w:tcBorders>
            <w:shd w:val="clear" w:color="auto" w:fill="auto"/>
          </w:tcPr>
          <w:p>
            <w:pPr>
              <w:spacing w:line="272" w:lineRule="auto"/>
              <w:jc w:val="center"/>
            </w:pPr>
            <w:r>
              <w:rPr>
                <w:rFonts w:ascii="仿宋" w:hAnsi="仿宋" w:eastAsia="仿宋" w:cs="仿宋"/>
                <w:b/>
                <w:sz w:val="21"/>
                <w:szCs w:val="21"/>
              </w:rPr>
              <w:t>B10</w:t>
            </w:r>
          </w:p>
          <w:p>
            <w:pPr>
              <w:spacing w:line="272" w:lineRule="auto"/>
              <w:jc w:val="center"/>
            </w:pPr>
            <w:r>
              <w:rPr>
                <w:rFonts w:ascii="仿宋" w:hAnsi="仿宋" w:eastAsia="仿宋" w:cs="仿宋"/>
                <w:b/>
                <w:sz w:val="21"/>
                <w:szCs w:val="21"/>
              </w:rPr>
              <w:t>特色亮点2</w:t>
            </w:r>
          </w:p>
        </w:tc>
        <w:tc>
          <w:tcPr>
            <w:tcW w:w="479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pPr>
            <w:r>
              <w:rPr>
                <w:rFonts w:ascii="仿宋" w:hAnsi="仿宋" w:eastAsia="仿宋" w:cs="仿宋"/>
                <w:sz w:val="21"/>
                <w:szCs w:val="21"/>
              </w:rPr>
              <w:t>学校在管理、课程与教学、教师发展、家校协同等领域形成好的经验或特色，延续托管的学校基于首轮托管，在深化改革、推进内涵建设方面有新举措、新进展、新成效；或在托管工作机制、运作模式、实施策略等方面形成可借鉴的经验（2）</w:t>
            </w:r>
          </w:p>
        </w:tc>
        <w:tc>
          <w:tcPr>
            <w:tcW w:w="607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color w:val="000000"/>
                <w:sz w:val="21"/>
                <w:szCs w:val="21"/>
              </w:rPr>
            </w:pPr>
            <w:r>
              <w:rPr>
                <w:rFonts w:hint="eastAsia" w:ascii="宋体" w:hAnsi="宋体" w:eastAsia="宋体" w:cs="宋体"/>
                <w:color w:val="000000"/>
                <w:sz w:val="21"/>
                <w:szCs w:val="21"/>
              </w:rPr>
              <w:t>（1）名师中心在重固中学很重视对学生的辅优工作，特别加强了初三毕业班的教学工作，使之较快适应“双减”背景下中考改革的要求，</w:t>
            </w:r>
            <w:r>
              <w:rPr>
                <w:rFonts w:hint="eastAsia" w:ascii="宋体" w:hAnsi="宋体" w:eastAsia="宋体" w:cs="宋体"/>
                <w:color w:val="auto"/>
                <w:sz w:val="21"/>
                <w:szCs w:val="21"/>
              </w:rPr>
              <w:t>2021年示范性高中录取率2</w:t>
            </w:r>
            <w:r>
              <w:rPr>
                <w:rFonts w:ascii="宋体" w:hAnsi="宋体" w:eastAsia="宋体" w:cs="宋体"/>
                <w:color w:val="auto"/>
                <w:sz w:val="21"/>
                <w:szCs w:val="21"/>
              </w:rPr>
              <w:t>1.81</w:t>
            </w:r>
            <w:r>
              <w:rPr>
                <w:rFonts w:hint="eastAsia" w:ascii="宋体" w:hAnsi="宋体" w:eastAsia="宋体" w:cs="宋体"/>
                <w:color w:val="auto"/>
                <w:sz w:val="21"/>
                <w:szCs w:val="21"/>
              </w:rPr>
              <w:t>%，2022年示范性高中录取率2</w:t>
            </w:r>
            <w:r>
              <w:rPr>
                <w:rFonts w:ascii="宋体" w:hAnsi="宋体" w:eastAsia="宋体" w:cs="宋体"/>
                <w:color w:val="auto"/>
                <w:sz w:val="21"/>
                <w:szCs w:val="21"/>
              </w:rPr>
              <w:t>3.29</w:t>
            </w:r>
            <w:r>
              <w:rPr>
                <w:rFonts w:hint="eastAsia" w:ascii="宋体" w:hAnsi="宋体" w:eastAsia="宋体" w:cs="宋体"/>
                <w:color w:val="auto"/>
                <w:sz w:val="21"/>
                <w:szCs w:val="21"/>
              </w:rPr>
              <w:t>%，2023年示范性高中录取率3</w:t>
            </w:r>
            <w:r>
              <w:rPr>
                <w:rFonts w:ascii="宋体" w:hAnsi="宋体" w:eastAsia="宋体" w:cs="宋体"/>
                <w:color w:val="auto"/>
                <w:sz w:val="21"/>
                <w:szCs w:val="21"/>
              </w:rPr>
              <w:t>0.77</w:t>
            </w:r>
            <w:r>
              <w:rPr>
                <w:rFonts w:hint="eastAsia" w:ascii="宋体" w:hAnsi="宋体" w:eastAsia="宋体" w:cs="宋体"/>
                <w:color w:val="auto"/>
                <w:sz w:val="21"/>
                <w:szCs w:val="21"/>
              </w:rPr>
              <w:t>%，优良率提升较大。</w:t>
            </w:r>
            <w:r>
              <w:rPr>
                <w:rFonts w:hint="eastAsia" w:ascii="宋体" w:hAnsi="宋体" w:eastAsia="宋体" w:cs="宋体"/>
                <w:sz w:val="21"/>
                <w:szCs w:val="21"/>
              </w:rPr>
              <w:t>圆满</w:t>
            </w:r>
            <w:r>
              <w:rPr>
                <w:rFonts w:hint="eastAsia" w:ascii="宋体" w:hAnsi="宋体" w:eastAsia="宋体" w:cs="宋体"/>
                <w:color w:val="000000"/>
                <w:sz w:val="21"/>
                <w:szCs w:val="21"/>
              </w:rPr>
              <w:t>完成了名额到校的招收任务，中考成绩喜人，提升了教师学科教学自信心，扩大了学校良好的社会影响。</w:t>
            </w:r>
          </w:p>
          <w:p>
            <w:pPr>
              <w:spacing w:line="276" w:lineRule="auto"/>
              <w:rPr>
                <w:rFonts w:ascii="宋体" w:hAnsi="宋体" w:eastAsia="宋体" w:cs="宋体"/>
                <w:color w:val="000000"/>
                <w:sz w:val="21"/>
                <w:szCs w:val="21"/>
              </w:rPr>
            </w:pPr>
            <w:r>
              <w:rPr>
                <w:rFonts w:hint="eastAsia" w:ascii="宋体" w:hAnsi="宋体" w:eastAsia="宋体" w:cs="宋体"/>
                <w:color w:val="000000"/>
                <w:sz w:val="21"/>
                <w:szCs w:val="21"/>
              </w:rPr>
              <w:t>（2）名师中心集市域优质教育资源为重固中学制度建设、机制建设助力，提升办学综合实力，同时很重视市域优质教育资源的辐射放大效应，名师中心搭建的线上线下交流平台，重固、名师中心助力强校工程学校金泽中学和珠溪中学等8所兄弟学校一起参与学科研修活动，提高了强校工程学校的教育教学质量。</w:t>
            </w:r>
          </w:p>
          <w:p>
            <w:pPr>
              <w:spacing w:line="276" w:lineRule="auto"/>
              <w:rPr>
                <w:rFonts w:ascii="宋体" w:hAnsi="宋体" w:eastAsia="宋体" w:cs="宋体"/>
                <w:sz w:val="21"/>
                <w:szCs w:val="21"/>
              </w:rPr>
            </w:pPr>
            <w:r>
              <w:rPr>
                <w:rFonts w:hint="eastAsia" w:ascii="宋体" w:hAnsi="宋体" w:eastAsia="宋体" w:cs="宋体"/>
                <w:color w:val="000000"/>
                <w:sz w:val="21"/>
                <w:szCs w:val="21"/>
              </w:rPr>
              <w:t>（3）以课题为引领推进学校各项工作，有助于学校工作整体性思考和研究，有条例，有高度。重固中学的区级项目《整合劳动教育，建构新时代学校课程一体化的实践研究》立项区级重点课题，带动青年教师积极参与到课堂教育教学研究中，何春美老师的区级课题《主题单元视角下，以大观念为指引的螺旋式课程的实践研究》、孙似汀老师的《PBL教学模式应用于初中物理实验课对培养科学探究素养的影响研究》等等形成良好的研究性教学的好风气，有助于形成学校良好的学风与教风。</w:t>
            </w:r>
          </w:p>
          <w:p>
            <w:pPr>
              <w:spacing w:line="276" w:lineRule="auto"/>
              <w:rPr>
                <w:rFonts w:ascii="宋体" w:hAnsi="宋体" w:eastAsia="宋体" w:cs="宋体"/>
                <w:sz w:val="21"/>
                <w:szCs w:val="21"/>
              </w:rPr>
            </w:pPr>
          </w:p>
        </w:tc>
        <w:tc>
          <w:tcPr>
            <w:tcW w:w="1845" w:type="dxa"/>
            <w:gridSpan w:val="2"/>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rPr>
                <w:rFonts w:hint="eastAsia" w:eastAsia="宋体"/>
                <w:lang w:eastAsia="zh-CN"/>
              </w:rPr>
            </w:pPr>
            <w:r>
              <w:rPr>
                <w:rFonts w:hint="eastAsia" w:ascii="仿宋" w:hAnsi="仿宋" w:eastAsia="仿宋" w:cs="仿宋"/>
                <w:b/>
                <w:sz w:val="21"/>
                <w:szCs w:val="21"/>
                <w:lang w:val="en-US" w:eastAsia="zh-CN"/>
              </w:rPr>
              <w:t>2</w:t>
            </w:r>
          </w:p>
        </w:tc>
        <w:tc>
          <w:tcPr>
            <w:tcW w:w="840" w:type="dxa"/>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rPr>
                <w:rFonts w:hint="eastAsia" w:eastAsia="宋体"/>
                <w:lang w:eastAsia="zh-CN"/>
              </w:rPr>
            </w:pPr>
            <w:r>
              <w:rPr>
                <w:rFonts w:hint="eastAsia" w:ascii="仿宋" w:hAnsi="仿宋" w:eastAsia="仿宋" w:cs="仿宋"/>
                <w:b/>
                <w:sz w:val="21"/>
                <w:szCs w:val="21"/>
                <w:lang w:val="en-US" w:eastAsia="zh-CN"/>
              </w:rPr>
              <w:t>2</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795"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jc w:val="center"/>
            </w:pPr>
            <w:r>
              <w:rPr>
                <w:rFonts w:ascii="仿宋" w:hAnsi="仿宋" w:eastAsia="仿宋" w:cs="仿宋"/>
                <w:b/>
                <w:sz w:val="21"/>
                <w:szCs w:val="21"/>
              </w:rPr>
              <w:t>B11</w:t>
            </w:r>
          </w:p>
          <w:p>
            <w:pPr>
              <w:spacing w:line="327" w:lineRule="auto"/>
              <w:jc w:val="center"/>
            </w:pPr>
            <w:r>
              <w:rPr>
                <w:rFonts w:ascii="仿宋" w:hAnsi="仿宋" w:eastAsia="仿宋" w:cs="仿宋"/>
                <w:b/>
                <w:sz w:val="21"/>
                <w:szCs w:val="21"/>
              </w:rPr>
              <w:t>自评工作2</w:t>
            </w:r>
          </w:p>
        </w:tc>
        <w:tc>
          <w:tcPr>
            <w:tcW w:w="479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pPr>
            <w:r>
              <w:rPr>
                <w:rFonts w:ascii="仿宋" w:hAnsi="仿宋" w:eastAsia="仿宋" w:cs="仿宋"/>
                <w:sz w:val="21"/>
                <w:szCs w:val="21"/>
              </w:rPr>
              <w:t>学校自评工作的规范性和自评结果的客观性等（2）</w:t>
            </w:r>
          </w:p>
        </w:tc>
        <w:tc>
          <w:tcPr>
            <w:tcW w:w="607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sz w:val="21"/>
                <w:szCs w:val="21"/>
              </w:rPr>
            </w:pPr>
            <w:r>
              <w:rPr>
                <w:rFonts w:hint="eastAsia" w:ascii="Times New Roman" w:hAnsi="Times New Roman" w:eastAsia="宋体" w:cs="Times New Roman"/>
                <w:szCs w:val="24"/>
              </w:rPr>
              <w:t>上海名师杜校长带领托管总监、与受援校中层以上干部集体参加教委与评估院培训，理解评估工作的重要性，回学校及时召开会议，托管会对照精准托管方案，分部门分工梳理，进行自评，在自评基础上小结交流，进行互评；自上而下，自下而上，本着突出个性、实事求是、关注发展的原则完成自评绩效指标与报告；在这过程中，托管会成员通过各种方式，深入了解学校后续发展的愿望和要求，经过反复修改，定稿后交教代会审议通过后，于8号在校园网公示后交青浦区教育局。</w:t>
            </w:r>
          </w:p>
        </w:tc>
        <w:tc>
          <w:tcPr>
            <w:tcW w:w="1845" w:type="dxa"/>
            <w:gridSpan w:val="2"/>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r>
              <w:rPr>
                <w:rFonts w:ascii="仿宋" w:hAnsi="仿宋" w:eastAsia="仿宋" w:cs="仿宋"/>
                <w:b/>
                <w:sz w:val="21"/>
                <w:szCs w:val="21"/>
              </w:rPr>
              <w:t>2</w:t>
            </w:r>
          </w:p>
        </w:tc>
        <w:tc>
          <w:tcPr>
            <w:tcW w:w="840" w:type="dxa"/>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r>
              <w:rPr>
                <w:rFonts w:ascii="仿宋" w:hAnsi="仿宋" w:eastAsia="仿宋" w:cs="仿宋"/>
                <w:b/>
                <w:sz w:val="21"/>
                <w:szCs w:val="21"/>
              </w:rPr>
              <w:t>2</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795" w:hRule="atLeast"/>
          <w:jc w:val="center"/>
        </w:trPr>
        <w:tc>
          <w:tcPr>
            <w:tcW w:w="555"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jc w:val="left"/>
            </w:pPr>
          </w:p>
        </w:tc>
        <w:tc>
          <w:tcPr>
            <w:tcW w:w="555"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B12</w:t>
            </w:r>
          </w:p>
          <w:p>
            <w:pPr>
              <w:spacing w:line="327" w:lineRule="auto"/>
              <w:jc w:val="center"/>
            </w:pPr>
            <w:r>
              <w:rPr>
                <w:rFonts w:ascii="仿宋" w:hAnsi="仿宋" w:eastAsia="仿宋" w:cs="仿宋"/>
                <w:b/>
                <w:sz w:val="21"/>
                <w:szCs w:val="21"/>
              </w:rPr>
              <w:t>区级支持2</w:t>
            </w:r>
          </w:p>
        </w:tc>
        <w:tc>
          <w:tcPr>
            <w:tcW w:w="4798"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r>
              <w:rPr>
                <w:rFonts w:ascii="仿宋" w:hAnsi="仿宋" w:eastAsia="仿宋" w:cs="仿宋"/>
                <w:sz w:val="21"/>
                <w:szCs w:val="21"/>
              </w:rPr>
              <w:t>托管双方教育局为支援单位和受援校紧密合作、提升受援校办学水平，在人员、经费、设备、考核，以及协调解决问题、困难等方面提供的关心支持和保障情况等</w:t>
            </w:r>
          </w:p>
          <w:p>
            <w:r>
              <w:rPr>
                <w:rFonts w:ascii="仿宋" w:hAnsi="仿宋" w:eastAsia="仿宋" w:cs="仿宋"/>
                <w:sz w:val="21"/>
                <w:szCs w:val="21"/>
              </w:rPr>
              <w:t>（2）</w:t>
            </w:r>
          </w:p>
        </w:tc>
        <w:tc>
          <w:tcPr>
            <w:tcW w:w="6077" w:type="dxa"/>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276" w:lineRule="auto"/>
              <w:rPr>
                <w:rFonts w:ascii="宋体" w:hAnsi="宋体" w:eastAsia="宋体" w:cs="宋体"/>
                <w:sz w:val="21"/>
                <w:szCs w:val="21"/>
              </w:rPr>
            </w:pPr>
            <w:r>
              <w:rPr>
                <w:rFonts w:hint="eastAsia" w:ascii="宋体" w:hAnsi="宋体" w:eastAsia="宋体" w:cs="宋体"/>
                <w:color w:val="000000"/>
                <w:sz w:val="21"/>
                <w:szCs w:val="21"/>
              </w:rPr>
              <w:t>受援教育局在人员、经费上予以支持、托管经费拨付及时，管理规范，为托管工作提供有效保障。支援方和受援双方教育局共同关心指导，对托管工作的非常重视和支持。</w:t>
            </w:r>
          </w:p>
        </w:tc>
        <w:tc>
          <w:tcPr>
            <w:tcW w:w="1845" w:type="dxa"/>
            <w:gridSpan w:val="2"/>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r>
              <w:rPr>
                <w:rFonts w:ascii="仿宋" w:hAnsi="仿宋" w:eastAsia="仿宋" w:cs="仿宋"/>
                <w:b/>
                <w:sz w:val="21"/>
                <w:szCs w:val="21"/>
              </w:rPr>
              <w:t>2</w:t>
            </w:r>
          </w:p>
        </w:tc>
        <w:tc>
          <w:tcPr>
            <w:tcW w:w="840" w:type="dxa"/>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r>
              <w:rPr>
                <w:rFonts w:ascii="仿宋" w:hAnsi="仿宋" w:eastAsia="仿宋" w:cs="仿宋"/>
                <w:b/>
                <w:sz w:val="21"/>
                <w:szCs w:val="21"/>
              </w:rPr>
              <w:t>2</w:t>
            </w:r>
          </w:p>
        </w:tc>
        <w:tc>
          <w:tcPr>
            <w:tcW w:w="840" w:type="dxa"/>
            <w:vMerge w:val="continue"/>
            <w:tcBorders>
              <w:top w:val="single" w:color="000000" w:sz="8" w:space="0"/>
              <w:left w:val="single" w:color="000000" w:sz="8" w:space="0"/>
              <w:bottom w:val="single" w:color="000000" w:sz="8" w:space="0"/>
              <w:right w:val="single" w:color="000000" w:sz="8" w:space="0"/>
            </w:tcBorders>
            <w:shd w:val="clear" w:color="auto" w:fill="auto"/>
          </w:tcPr>
          <w:p>
            <w:pPr>
              <w:spacing w:line="327" w:lineRule="auto"/>
            </w:pPr>
          </w:p>
        </w:tc>
      </w:tr>
      <w:tr>
        <w:tblPrEx>
          <w:tblBorders>
            <w:top w:val="none" w:color="999999" w:sz="6" w:space="0"/>
            <w:left w:val="none" w:color="999999" w:sz="6" w:space="0"/>
            <w:bottom w:val="none" w:color="999999" w:sz="6" w:space="0"/>
            <w:right w:val="none" w:color="999999" w:sz="6" w:space="0"/>
            <w:insideH w:val="none" w:color="999999" w:sz="6" w:space="0"/>
            <w:insideV w:val="none" w:color="999999" w:sz="6" w:space="0"/>
          </w:tblBorders>
          <w:tblCellMar>
            <w:top w:w="0" w:type="dxa"/>
            <w:left w:w="10" w:type="dxa"/>
            <w:bottom w:w="0" w:type="dxa"/>
            <w:right w:w="10" w:type="dxa"/>
          </w:tblCellMar>
        </w:tblPrEx>
        <w:trPr>
          <w:trHeight w:val="630" w:hRule="atLeast"/>
          <w:jc w:val="center"/>
        </w:trPr>
        <w:tc>
          <w:tcPr>
            <w:tcW w:w="1110" w:type="dxa"/>
            <w:gridSpan w:val="2"/>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jc w:val="center"/>
            </w:pPr>
            <w:r>
              <w:rPr>
                <w:rFonts w:ascii="仿宋" w:hAnsi="仿宋" w:eastAsia="仿宋" w:cs="仿宋"/>
                <w:b/>
                <w:sz w:val="21"/>
                <w:szCs w:val="21"/>
              </w:rPr>
              <w:t>总分</w:t>
            </w:r>
          </w:p>
          <w:p>
            <w:pPr>
              <w:spacing w:line="327" w:lineRule="auto"/>
              <w:jc w:val="center"/>
            </w:pPr>
            <w:r>
              <w:rPr>
                <w:rFonts w:ascii="仿宋" w:hAnsi="仿宋" w:eastAsia="仿宋" w:cs="仿宋"/>
                <w:b/>
                <w:sz w:val="21"/>
                <w:szCs w:val="21"/>
              </w:rPr>
              <w:t>（满分100分）</w:t>
            </w:r>
          </w:p>
        </w:tc>
        <w:tc>
          <w:tcPr>
            <w:tcW w:w="10875" w:type="dxa"/>
            <w:gridSpan w:val="3"/>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pPr>
          </w:p>
        </w:tc>
        <w:tc>
          <w:tcPr>
            <w:tcW w:w="3525" w:type="dxa"/>
            <w:gridSpan w:val="4"/>
            <w:tcBorders>
              <w:top w:val="single" w:color="000000" w:sz="8" w:space="0"/>
              <w:left w:val="single" w:color="000000" w:sz="8" w:space="0"/>
              <w:bottom w:val="single" w:color="000000" w:sz="8" w:space="0"/>
              <w:right w:val="single" w:color="000000" w:sz="8" w:space="0"/>
            </w:tcBorders>
            <w:shd w:val="clear" w:color="auto" w:fill="auto"/>
            <w:vAlign w:val="center"/>
          </w:tcPr>
          <w:p>
            <w:pPr>
              <w:spacing w:line="327" w:lineRule="auto"/>
              <w:rPr>
                <w:rFonts w:hint="default" w:eastAsia="宋体"/>
                <w:lang w:val="en-US" w:eastAsia="zh-CN"/>
              </w:rPr>
            </w:pPr>
            <w:r>
              <w:rPr>
                <w:rFonts w:hint="eastAsia" w:eastAsia="宋体"/>
                <w:lang w:val="en-US" w:eastAsia="zh-CN"/>
              </w:rPr>
              <w:t>100</w:t>
            </w:r>
          </w:p>
        </w:tc>
      </w:tr>
    </w:tbl>
    <w:p>
      <w:pPr>
        <w:tabs>
          <w:tab w:val="left" w:pos="709"/>
        </w:tabs>
        <w:spacing w:before="156" w:line="327" w:lineRule="auto"/>
      </w:pPr>
      <w:r>
        <w:rPr>
          <w:rFonts w:ascii="仿宋" w:hAnsi="仿宋" w:eastAsia="仿宋" w:cs="仿宋"/>
          <w:sz w:val="21"/>
          <w:szCs w:val="21"/>
        </w:rPr>
        <w:t>注：标“*”的二级指标，即“B1协议履行”和“B9满意度”为关键指标。</w:t>
      </w:r>
    </w:p>
    <w:p>
      <w:pPr>
        <w:tabs>
          <w:tab w:val="left" w:pos="709"/>
        </w:tabs>
        <w:spacing w:line="327" w:lineRule="auto"/>
      </w:pPr>
      <w:r>
        <w:rPr>
          <w:rFonts w:ascii="仿宋" w:hAnsi="仿宋" w:eastAsia="仿宋" w:cs="仿宋"/>
          <w:sz w:val="21"/>
          <w:szCs w:val="21"/>
        </w:rPr>
        <w:t>评分需精确到0.1，评分标准为：</w:t>
      </w:r>
    </w:p>
    <w:p>
      <w:pPr>
        <w:tabs>
          <w:tab w:val="left" w:pos="709"/>
        </w:tabs>
        <w:spacing w:line="327" w:lineRule="auto"/>
      </w:pPr>
      <w:r>
        <w:rPr>
          <w:rFonts w:ascii="仿宋" w:hAnsi="仿宋" w:eastAsia="仿宋" w:cs="仿宋"/>
          <w:sz w:val="21"/>
          <w:szCs w:val="21"/>
        </w:rPr>
        <w:t>1.总分高于85（含）分，且两项关键指标得分率均大于其分值的85%（含），评估结果为“优”；</w:t>
      </w:r>
    </w:p>
    <w:p>
      <w:pPr>
        <w:tabs>
          <w:tab w:val="left" w:pos="709"/>
        </w:tabs>
        <w:spacing w:line="327" w:lineRule="auto"/>
      </w:pPr>
      <w:r>
        <w:rPr>
          <w:rFonts w:ascii="仿宋" w:hAnsi="仿宋" w:eastAsia="仿宋" w:cs="仿宋"/>
          <w:sz w:val="21"/>
          <w:szCs w:val="21"/>
        </w:rPr>
        <w:t>2.总分低于60分，或两项关键指标中任一指标的得分率小于其分值的60%，评估结果为“不合格”。</w:t>
      </w:r>
    </w:p>
    <w:p>
      <w:pPr>
        <w:tabs>
          <w:tab w:val="left" w:pos="709"/>
        </w:tabs>
        <w:spacing w:line="327" w:lineRule="auto"/>
      </w:pPr>
      <w:r>
        <w:rPr>
          <w:rFonts w:ascii="仿宋" w:hAnsi="仿宋" w:eastAsia="仿宋" w:cs="仿宋"/>
          <w:sz w:val="21"/>
          <w:szCs w:val="21"/>
        </w:rPr>
        <w:t>另，学校如有下列情形</w:t>
      </w:r>
      <w:r>
        <w:rPr>
          <w:rFonts w:ascii="仿宋" w:hAnsi="仿宋" w:eastAsia="仿宋" w:cs="仿宋"/>
          <w:b/>
          <w:sz w:val="21"/>
          <w:szCs w:val="21"/>
        </w:rPr>
        <w:t>之一</w:t>
      </w:r>
      <w:r>
        <w:rPr>
          <w:rFonts w:ascii="仿宋" w:hAnsi="仿宋" w:eastAsia="仿宋" w:cs="仿宋"/>
          <w:sz w:val="21"/>
          <w:szCs w:val="21"/>
        </w:rPr>
        <w:t>，经核实，实行一票否决，即绩效评估结果为“不合格”：①学校发生重大责任事故；②学校发生师德失范、学术不端、违纪违规等事件；③学校发生校园霸凌等不良事件；④学校提供虚假信息（如阴阳课表、材料伪造或抄袭等）。</w:t>
      </w:r>
      <w:r>
        <w:rPr>
          <w:rFonts w:ascii="宋体" w:hAnsi="宋体" w:eastAsia="宋体" w:cs="宋体"/>
          <w:sz w:val="21"/>
          <w:szCs w:val="21"/>
        </w:rPr>
        <w:t xml:space="preserve"> </w:t>
      </w:r>
    </w:p>
    <w:p>
      <w:pPr>
        <w:tabs>
          <w:tab w:val="left" w:pos="709"/>
        </w:tabs>
        <w:spacing w:line="327" w:lineRule="auto"/>
      </w:pPr>
      <w:r>
        <w:rPr>
          <w:rFonts w:ascii="仿宋" w:hAnsi="仿宋" w:eastAsia="仿宋" w:cs="仿宋"/>
          <w:sz w:val="21"/>
          <w:szCs w:val="21"/>
        </w:rPr>
        <w:t>3.除上述情况外，评估结果均为“合格”</w:t>
      </w:r>
    </w:p>
    <w:p>
      <w:pPr>
        <w:jc w:val="left"/>
      </w:pPr>
    </w:p>
    <w:p/>
    <w:p/>
    <w:p/>
    <w:p/>
    <w:p/>
    <w:p/>
    <w:p/>
    <w:p/>
    <w:p/>
    <w:p/>
    <w:p/>
    <w:p/>
    <w:p/>
    <w:p/>
    <w:p/>
    <w:p/>
    <w:p/>
    <w:p>
      <w:pPr>
        <w:rPr>
          <w:rFonts w:hint="eastAsia" w:eastAsia="宋体"/>
          <w:lang w:val="en-US" w:eastAsia="zh-CN"/>
        </w:rPr>
      </w:pPr>
    </w:p>
    <w:p>
      <w:pPr>
        <w:rPr>
          <w:rFonts w:hint="default" w:eastAsia="宋体"/>
          <w:lang w:val="en-US" w:eastAsia="zh-CN"/>
        </w:rPr>
      </w:pPr>
      <w:r>
        <w:rPr>
          <w:rFonts w:hint="eastAsia" w:eastAsia="宋体"/>
          <w:lang w:val="en-US" w:eastAsia="zh-CN"/>
        </w:rPr>
        <w:t>附件2</w:t>
      </w:r>
    </w:p>
    <w:p>
      <w:pPr>
        <w:spacing w:before="156" w:beforeLines="50" w:line="360" w:lineRule="auto"/>
        <w:jc w:val="center"/>
        <w:rPr>
          <w:rFonts w:ascii="黑体" w:hAnsi="黑体" w:eastAsia="黑体"/>
          <w:b/>
          <w:bCs/>
          <w:sz w:val="30"/>
          <w:szCs w:val="30"/>
        </w:rPr>
      </w:pPr>
      <w:bookmarkStart w:id="0" w:name="_Toc108169690"/>
      <w:bookmarkStart w:id="1" w:name="_Toc11865"/>
      <w:r>
        <w:rPr>
          <w:rFonts w:hint="eastAsia" w:ascii="黑体" w:hAnsi="黑体" w:eastAsia="黑体"/>
          <w:b/>
          <w:bCs/>
          <w:sz w:val="30"/>
          <w:szCs w:val="30"/>
        </w:rPr>
        <w:t>上海市第二轮郊区学校精准委托管理</w:t>
      </w:r>
      <w:bookmarkStart w:id="2" w:name="_Hlk145620626"/>
      <w:r>
        <w:rPr>
          <w:rFonts w:hint="eastAsia" w:ascii="黑体" w:hAnsi="黑体" w:eastAsia="黑体"/>
          <w:b/>
          <w:bCs/>
          <w:sz w:val="30"/>
          <w:szCs w:val="30"/>
        </w:rPr>
        <w:t>绩效评估</w:t>
      </w:r>
      <w:bookmarkEnd w:id="2"/>
      <w:r>
        <w:rPr>
          <w:rFonts w:hint="eastAsia" w:ascii="黑体" w:hAnsi="黑体" w:eastAsia="黑体"/>
          <w:b/>
          <w:bCs/>
          <w:sz w:val="30"/>
          <w:szCs w:val="30"/>
        </w:rPr>
        <w:t>工作信息调查表</w:t>
      </w:r>
      <w:bookmarkEnd w:id="0"/>
      <w:bookmarkEnd w:id="1"/>
    </w:p>
    <w:p>
      <w:pPr>
        <w:spacing w:line="360" w:lineRule="auto"/>
        <w:rPr>
          <w:rFonts w:ascii="仿宋" w:hAnsi="仿宋" w:eastAsia="仿宋" w:cs="Times New Roman"/>
          <w:bCs/>
          <w:sz w:val="24"/>
          <w:szCs w:val="24"/>
        </w:rPr>
      </w:pPr>
      <w:r>
        <w:rPr>
          <w:rFonts w:hint="eastAsia" w:ascii="仿宋" w:hAnsi="仿宋" w:eastAsia="仿宋" w:cs="Times New Roman"/>
          <w:bCs/>
          <w:sz w:val="24"/>
          <w:szCs w:val="24"/>
        </w:rPr>
        <w:t>各支援学校（专业机构）：</w:t>
      </w:r>
    </w:p>
    <w:p>
      <w:pPr>
        <w:spacing w:line="360" w:lineRule="auto"/>
        <w:ind w:firstLine="480" w:firstLineChars="200"/>
        <w:rPr>
          <w:rFonts w:ascii="仿宋" w:hAnsi="仿宋" w:eastAsia="仿宋" w:cs="Times New Roman"/>
          <w:bCs/>
          <w:sz w:val="24"/>
          <w:szCs w:val="24"/>
        </w:rPr>
      </w:pPr>
      <w:r>
        <w:rPr>
          <w:rFonts w:hint="eastAsia" w:ascii="仿宋" w:hAnsi="仿宋" w:eastAsia="仿宋" w:cs="Times New Roman"/>
          <w:bCs/>
          <w:sz w:val="24"/>
          <w:szCs w:val="24"/>
        </w:rPr>
        <w:t>为全面了解精准委托管理终期阶段、各校精准委托管理工作的具体推进情况，为绩效评估提供关于两校互动交流的相关信息，请据实填写本表，所有</w:t>
      </w:r>
      <w:r>
        <w:rPr>
          <w:rFonts w:ascii="仿宋" w:hAnsi="仿宋" w:eastAsia="仿宋" w:cs="Times New Roman"/>
          <w:bCs/>
          <w:sz w:val="24"/>
          <w:szCs w:val="24"/>
        </w:rPr>
        <w:t>数据</w:t>
      </w:r>
      <w:r>
        <w:rPr>
          <w:rFonts w:hint="eastAsia" w:ascii="仿宋" w:hAnsi="仿宋" w:eastAsia="仿宋" w:cs="Times New Roman"/>
          <w:bCs/>
          <w:sz w:val="24"/>
          <w:szCs w:val="24"/>
        </w:rPr>
        <w:t>信息截止日期</w:t>
      </w:r>
      <w:r>
        <w:rPr>
          <w:rFonts w:ascii="仿宋" w:hAnsi="仿宋" w:eastAsia="仿宋" w:cs="Times New Roman"/>
          <w:bCs/>
          <w:sz w:val="24"/>
          <w:szCs w:val="24"/>
        </w:rPr>
        <w:t>为2023</w:t>
      </w:r>
      <w:r>
        <w:rPr>
          <w:rFonts w:hint="eastAsia" w:ascii="仿宋" w:hAnsi="仿宋" w:eastAsia="仿宋" w:cs="Times New Roman"/>
          <w:bCs/>
          <w:sz w:val="24"/>
          <w:szCs w:val="24"/>
        </w:rPr>
        <w:t>年1</w:t>
      </w:r>
      <w:r>
        <w:rPr>
          <w:rFonts w:ascii="仿宋" w:hAnsi="仿宋" w:eastAsia="仿宋" w:cs="Times New Roman"/>
          <w:bCs/>
          <w:sz w:val="24"/>
          <w:szCs w:val="24"/>
        </w:rPr>
        <w:t>0</w:t>
      </w:r>
      <w:r>
        <w:rPr>
          <w:rFonts w:hint="eastAsia" w:ascii="仿宋" w:hAnsi="仿宋" w:eastAsia="仿宋" w:cs="Times New Roman"/>
          <w:bCs/>
          <w:sz w:val="24"/>
          <w:szCs w:val="24"/>
        </w:rPr>
        <w:t>月3</w:t>
      </w:r>
      <w:r>
        <w:rPr>
          <w:rFonts w:ascii="仿宋" w:hAnsi="仿宋" w:eastAsia="仿宋" w:cs="Times New Roman"/>
          <w:bCs/>
          <w:sz w:val="24"/>
          <w:szCs w:val="24"/>
        </w:rPr>
        <w:t>1</w:t>
      </w:r>
      <w:r>
        <w:rPr>
          <w:rFonts w:hint="eastAsia" w:ascii="仿宋" w:hAnsi="仿宋" w:eastAsia="仿宋" w:cs="Times New Roman"/>
          <w:bCs/>
          <w:sz w:val="24"/>
          <w:szCs w:val="24"/>
        </w:rPr>
        <w:t>日</w:t>
      </w:r>
      <w:r>
        <w:rPr>
          <w:rFonts w:ascii="仿宋" w:hAnsi="仿宋" w:eastAsia="仿宋" w:cs="Times New Roman"/>
          <w:bCs/>
          <w:sz w:val="24"/>
          <w:szCs w:val="24"/>
        </w:rPr>
        <w:t>，</w:t>
      </w:r>
      <w:r>
        <w:rPr>
          <w:rFonts w:hint="eastAsia" w:ascii="仿宋" w:hAnsi="仿宋" w:eastAsia="仿宋" w:cs="Times New Roman"/>
          <w:bCs/>
          <w:sz w:val="24"/>
          <w:szCs w:val="24"/>
        </w:rPr>
        <w:t>谢谢您的支持！</w:t>
      </w:r>
    </w:p>
    <w:p>
      <w:pPr>
        <w:spacing w:line="360" w:lineRule="auto"/>
        <w:rPr>
          <w:rFonts w:ascii="仿宋" w:hAnsi="仿宋" w:eastAsia="仿宋" w:cs="Times New Roman"/>
          <w:bCs/>
          <w:sz w:val="24"/>
          <w:szCs w:val="24"/>
        </w:rPr>
      </w:pPr>
      <w:r>
        <w:rPr>
          <w:rFonts w:ascii="仿宋" w:hAnsi="仿宋" w:eastAsia="仿宋" w:cs="Times New Roman"/>
          <w:bCs/>
          <w:sz w:val="24"/>
          <w:szCs w:val="24"/>
        </w:rPr>
        <w:t>1.</w:t>
      </w:r>
      <w:r>
        <w:rPr>
          <w:rFonts w:hint="eastAsia" w:ascii="仿宋" w:hAnsi="仿宋" w:eastAsia="仿宋" w:cs="Times New Roman"/>
          <w:bCs/>
          <w:sz w:val="24"/>
          <w:szCs w:val="24"/>
        </w:rPr>
        <w:t xml:space="preserve">支援学校（专业机构）名称 </w:t>
      </w:r>
      <w:r>
        <w:rPr>
          <w:rFonts w:ascii="仿宋" w:hAnsi="仿宋" w:eastAsia="仿宋" w:cs="Times New Roman"/>
          <w:bCs/>
          <w:sz w:val="24"/>
          <w:szCs w:val="24"/>
        </w:rPr>
        <w:t>__</w:t>
      </w:r>
      <w:r>
        <w:rPr>
          <w:rFonts w:hint="eastAsia" w:ascii="宋体" w:hAnsi="宋体" w:eastAsia="宋体" w:cs="Times New Roman"/>
          <w:sz w:val="24"/>
          <w:szCs w:val="24"/>
          <w:u w:val="single"/>
        </w:rPr>
        <w:t>上海名师培训中心</w:t>
      </w:r>
      <w:r>
        <w:rPr>
          <w:rFonts w:ascii="宋体" w:hAnsi="宋体" w:eastAsia="宋体" w:cs="Times New Roman"/>
          <w:sz w:val="24"/>
          <w:szCs w:val="24"/>
          <w:u w:val="single"/>
        </w:rPr>
        <w:t>__</w:t>
      </w:r>
      <w:r>
        <w:rPr>
          <w:rFonts w:ascii="仿宋" w:hAnsi="仿宋" w:eastAsia="仿宋" w:cs="Times New Roman"/>
          <w:bCs/>
          <w:sz w:val="24"/>
          <w:szCs w:val="24"/>
        </w:rPr>
        <w:t xml:space="preserve">________    </w:t>
      </w:r>
      <w:r>
        <w:rPr>
          <w:rFonts w:hint="eastAsia" w:ascii="仿宋" w:hAnsi="仿宋" w:eastAsia="仿宋" w:cs="Times New Roman"/>
          <w:bCs/>
          <w:sz w:val="24"/>
          <w:szCs w:val="24"/>
        </w:rPr>
        <w:t xml:space="preserve">地址 </w:t>
      </w:r>
      <w:r>
        <w:rPr>
          <w:rFonts w:hint="eastAsia" w:ascii="仿宋" w:hAnsi="仿宋" w:eastAsia="仿宋" w:cs="Times New Roman"/>
          <w:bCs/>
          <w:sz w:val="24"/>
          <w:szCs w:val="24"/>
          <w:u w:val="single"/>
        </w:rPr>
        <w:t>黄浦区 延安东路2</w:t>
      </w:r>
      <w:r>
        <w:rPr>
          <w:rFonts w:ascii="仿宋" w:hAnsi="仿宋" w:eastAsia="仿宋" w:cs="Times New Roman"/>
          <w:bCs/>
          <w:sz w:val="24"/>
          <w:szCs w:val="24"/>
          <w:u w:val="single"/>
        </w:rPr>
        <w:t>05</w:t>
      </w:r>
      <w:r>
        <w:rPr>
          <w:rFonts w:hint="eastAsia" w:ascii="仿宋" w:hAnsi="仿宋" w:eastAsia="仿宋" w:cs="Times New Roman"/>
          <w:bCs/>
          <w:sz w:val="24"/>
          <w:szCs w:val="24"/>
          <w:u w:val="single"/>
        </w:rPr>
        <w:t>号2</w:t>
      </w:r>
      <w:r>
        <w:rPr>
          <w:rFonts w:ascii="仿宋" w:hAnsi="仿宋" w:eastAsia="仿宋" w:cs="Times New Roman"/>
          <w:bCs/>
          <w:sz w:val="24"/>
          <w:szCs w:val="24"/>
          <w:u w:val="single"/>
        </w:rPr>
        <w:t>02_</w:t>
      </w:r>
      <w:r>
        <w:rPr>
          <w:rFonts w:hint="eastAsia" w:ascii="仿宋" w:hAnsi="仿宋" w:eastAsia="仿宋" w:cs="Times New Roman"/>
          <w:bCs/>
          <w:sz w:val="24"/>
          <w:szCs w:val="24"/>
          <w:u w:val="single"/>
        </w:rPr>
        <w:t>室</w:t>
      </w:r>
      <w:r>
        <w:rPr>
          <w:rFonts w:ascii="仿宋" w:hAnsi="仿宋" w:eastAsia="仿宋" w:cs="Times New Roman"/>
          <w:bCs/>
          <w:sz w:val="24"/>
          <w:szCs w:val="24"/>
          <w:u w:val="single"/>
        </w:rPr>
        <w:t>_</w:t>
      </w:r>
      <w:r>
        <w:rPr>
          <w:rFonts w:ascii="仿宋" w:hAnsi="仿宋" w:eastAsia="仿宋" w:cs="Times New Roman"/>
          <w:bCs/>
          <w:sz w:val="24"/>
          <w:szCs w:val="24"/>
        </w:rPr>
        <w:t>________________</w:t>
      </w:r>
    </w:p>
    <w:p>
      <w:pPr>
        <w:spacing w:line="360" w:lineRule="auto"/>
        <w:rPr>
          <w:rFonts w:ascii="仿宋" w:hAnsi="仿宋" w:eastAsia="仿宋" w:cs="Times New Roman"/>
          <w:bCs/>
          <w:sz w:val="24"/>
          <w:szCs w:val="24"/>
        </w:rPr>
      </w:pPr>
      <w:r>
        <w:rPr>
          <w:rFonts w:ascii="仿宋" w:hAnsi="仿宋" w:eastAsia="仿宋" w:cs="Times New Roman"/>
          <w:bCs/>
          <w:sz w:val="24"/>
          <w:szCs w:val="24"/>
        </w:rPr>
        <w:t xml:space="preserve">                      </w:t>
      </w:r>
      <w:r>
        <w:rPr>
          <w:rFonts w:hint="eastAsia" w:ascii="仿宋" w:hAnsi="仿宋" w:eastAsia="仿宋" w:cs="Times New Roman"/>
          <w:bCs/>
          <w:sz w:val="24"/>
          <w:szCs w:val="24"/>
        </w:rPr>
        <w:t xml:space="preserve">负责人 </w:t>
      </w:r>
      <w:r>
        <w:rPr>
          <w:rFonts w:ascii="仿宋" w:hAnsi="仿宋" w:eastAsia="仿宋" w:cs="Times New Roman"/>
          <w:bCs/>
          <w:sz w:val="24"/>
          <w:szCs w:val="24"/>
        </w:rPr>
        <w:t>_</w:t>
      </w:r>
      <w:r>
        <w:rPr>
          <w:rFonts w:ascii="宋体" w:hAnsi="宋体" w:eastAsia="宋体" w:cs="Times New Roman"/>
          <w:sz w:val="24"/>
          <w:szCs w:val="24"/>
          <w:u w:val="single"/>
        </w:rPr>
        <w:t>_</w:t>
      </w:r>
      <w:r>
        <w:rPr>
          <w:rFonts w:hint="eastAsia" w:ascii="仿宋" w:hAnsi="仿宋" w:eastAsia="仿宋"/>
          <w:sz w:val="28"/>
          <w:szCs w:val="28"/>
          <w:u w:val="single"/>
        </w:rPr>
        <w:t>杜慧琦</w:t>
      </w:r>
      <w:r>
        <w:rPr>
          <w:rFonts w:ascii="仿宋" w:hAnsi="仿宋" w:eastAsia="仿宋" w:cs="Times New Roman"/>
          <w:bCs/>
          <w:sz w:val="24"/>
          <w:szCs w:val="24"/>
        </w:rPr>
        <w:t>___________ 手机</w:t>
      </w:r>
      <w:r>
        <w:rPr>
          <w:rFonts w:hint="eastAsia" w:ascii="仿宋" w:hAnsi="仿宋" w:eastAsia="仿宋" w:cs="Times New Roman"/>
          <w:bCs/>
          <w:sz w:val="24"/>
          <w:szCs w:val="24"/>
        </w:rPr>
        <w:t xml:space="preserve">号 </w:t>
      </w:r>
      <w:r>
        <w:rPr>
          <w:rFonts w:ascii="仿宋" w:hAnsi="仿宋" w:eastAsia="仿宋" w:cs="Times New Roman"/>
          <w:bCs/>
          <w:sz w:val="24"/>
          <w:szCs w:val="24"/>
        </w:rPr>
        <w:t>___</w:t>
      </w:r>
      <w:r>
        <w:rPr>
          <w:rFonts w:ascii="仿宋" w:hAnsi="仿宋" w:eastAsia="仿宋" w:cs="Times New Roman"/>
          <w:bCs/>
          <w:sz w:val="24"/>
          <w:szCs w:val="24"/>
          <w:u w:val="single"/>
        </w:rPr>
        <w:t>13916049109_</w:t>
      </w:r>
      <w:r>
        <w:rPr>
          <w:rFonts w:ascii="仿宋" w:hAnsi="仿宋" w:eastAsia="仿宋" w:cs="Times New Roman"/>
          <w:bCs/>
          <w:sz w:val="24"/>
          <w:szCs w:val="24"/>
        </w:rPr>
        <w:t>______</w:t>
      </w:r>
      <w:r>
        <w:rPr>
          <w:rFonts w:hint="eastAsia" w:ascii="仿宋" w:hAnsi="仿宋" w:eastAsia="仿宋" w:cs="Times New Roman"/>
          <w:bCs/>
          <w:sz w:val="24"/>
          <w:szCs w:val="24"/>
        </w:rPr>
        <w:t xml:space="preserve">现任职务 </w:t>
      </w:r>
      <w:r>
        <w:rPr>
          <w:rFonts w:ascii="仿宋" w:hAnsi="仿宋" w:eastAsia="仿宋" w:cs="Times New Roman"/>
          <w:bCs/>
          <w:sz w:val="24"/>
          <w:szCs w:val="24"/>
        </w:rPr>
        <w:t>______________</w:t>
      </w:r>
    </w:p>
    <w:p>
      <w:pPr>
        <w:spacing w:line="360" w:lineRule="auto"/>
        <w:ind w:firstLine="2640" w:firstLineChars="1100"/>
        <w:rPr>
          <w:rFonts w:ascii="仿宋" w:hAnsi="仿宋" w:eastAsia="仿宋" w:cs="Times New Roman"/>
          <w:bCs/>
          <w:sz w:val="24"/>
          <w:szCs w:val="24"/>
          <w:u w:val="single"/>
        </w:rPr>
      </w:pPr>
      <w:r>
        <w:rPr>
          <w:rFonts w:hint="eastAsia" w:ascii="仿宋" w:hAnsi="仿宋" w:eastAsia="仿宋" w:cs="Times New Roman"/>
          <w:bCs/>
          <w:sz w:val="24"/>
          <w:szCs w:val="24"/>
        </w:rPr>
        <w:t>联系人</w:t>
      </w:r>
      <w:r>
        <w:rPr>
          <w:rFonts w:ascii="仿宋" w:hAnsi="仿宋" w:eastAsia="仿宋" w:cs="Times New Roman"/>
          <w:bCs/>
          <w:sz w:val="24"/>
          <w:szCs w:val="24"/>
        </w:rPr>
        <w:t>_</w:t>
      </w:r>
      <w:r>
        <w:rPr>
          <w:rFonts w:hint="eastAsia" w:ascii="仿宋" w:hAnsi="仿宋" w:eastAsia="仿宋" w:cs="Times New Roman"/>
          <w:bCs/>
          <w:sz w:val="24"/>
          <w:szCs w:val="24"/>
          <w:u w:val="single"/>
        </w:rPr>
        <w:t>徐华玲</w:t>
      </w:r>
      <w:r>
        <w:rPr>
          <w:rFonts w:ascii="仿宋" w:hAnsi="仿宋" w:eastAsia="仿宋" w:cs="Times New Roman"/>
          <w:bCs/>
          <w:sz w:val="24"/>
          <w:szCs w:val="24"/>
          <w:u w:val="single"/>
        </w:rPr>
        <w:t>____</w:t>
      </w:r>
      <w:r>
        <w:rPr>
          <w:rFonts w:ascii="仿宋" w:hAnsi="仿宋" w:eastAsia="仿宋" w:cs="Times New Roman"/>
          <w:bCs/>
          <w:sz w:val="24"/>
          <w:szCs w:val="24"/>
        </w:rPr>
        <w:t>__________手机</w:t>
      </w:r>
      <w:r>
        <w:rPr>
          <w:rFonts w:hint="eastAsia" w:ascii="仿宋" w:hAnsi="仿宋" w:eastAsia="仿宋" w:cs="Times New Roman"/>
          <w:bCs/>
          <w:sz w:val="24"/>
          <w:szCs w:val="24"/>
        </w:rPr>
        <w:t xml:space="preserve">号 </w:t>
      </w:r>
      <w:r>
        <w:rPr>
          <w:rFonts w:ascii="仿宋" w:hAnsi="仿宋" w:eastAsia="仿宋" w:cs="Times New Roman"/>
          <w:bCs/>
          <w:sz w:val="24"/>
          <w:szCs w:val="24"/>
        </w:rPr>
        <w:t>_</w:t>
      </w:r>
      <w:r>
        <w:rPr>
          <w:rFonts w:ascii="仿宋" w:hAnsi="仿宋" w:eastAsia="仿宋" w:cs="Times New Roman"/>
          <w:bCs/>
          <w:sz w:val="24"/>
          <w:szCs w:val="24"/>
          <w:u w:val="single"/>
        </w:rPr>
        <w:t>_13761302161___</w:t>
      </w:r>
      <w:r>
        <w:rPr>
          <w:rFonts w:ascii="仿宋" w:hAnsi="仿宋" w:eastAsia="仿宋" w:cs="Times New Roman"/>
          <w:bCs/>
          <w:sz w:val="24"/>
          <w:szCs w:val="24"/>
        </w:rPr>
        <w:t>_______</w:t>
      </w:r>
      <w:r>
        <w:rPr>
          <w:rFonts w:hint="eastAsia" w:ascii="仿宋" w:hAnsi="仿宋" w:eastAsia="仿宋" w:cs="Times New Roman"/>
          <w:bCs/>
          <w:sz w:val="24"/>
          <w:szCs w:val="24"/>
        </w:rPr>
        <w:t xml:space="preserve">邮箱 </w:t>
      </w:r>
      <w:r>
        <w:rPr>
          <w:rFonts w:ascii="仿宋" w:hAnsi="仿宋" w:eastAsia="仿宋" w:cs="Times New Roman"/>
          <w:bCs/>
          <w:sz w:val="24"/>
          <w:szCs w:val="24"/>
          <w:u w:val="single"/>
        </w:rPr>
        <w:t>1226337298@qq.com___</w:t>
      </w:r>
    </w:p>
    <w:p>
      <w:pPr>
        <w:spacing w:line="360" w:lineRule="auto"/>
        <w:ind w:firstLine="2640" w:firstLineChars="1100"/>
        <w:rPr>
          <w:rFonts w:ascii="仿宋" w:hAnsi="仿宋" w:eastAsia="仿宋" w:cs="Times New Roman"/>
          <w:bCs/>
          <w:sz w:val="24"/>
          <w:szCs w:val="24"/>
        </w:rPr>
      </w:pPr>
      <w:r>
        <w:rPr>
          <w:rFonts w:hint="eastAsia" w:ascii="仿宋" w:hAnsi="仿宋" w:eastAsia="仿宋" w:cs="Times New Roman"/>
          <w:bCs/>
          <w:sz w:val="24"/>
          <w:szCs w:val="24"/>
        </w:rPr>
        <w:t xml:space="preserve">法人 </w:t>
      </w:r>
      <w:r>
        <w:rPr>
          <w:rFonts w:ascii="仿宋" w:hAnsi="仿宋" w:eastAsia="仿宋" w:cs="Times New Roman"/>
          <w:bCs/>
          <w:sz w:val="24"/>
          <w:szCs w:val="24"/>
        </w:rPr>
        <w:t>_</w:t>
      </w:r>
      <w:r>
        <w:rPr>
          <w:rFonts w:ascii="宋体" w:hAnsi="宋体" w:eastAsia="宋体" w:cs="Times New Roman"/>
          <w:sz w:val="24"/>
          <w:szCs w:val="24"/>
        </w:rPr>
        <w:t>_</w:t>
      </w:r>
      <w:r>
        <w:rPr>
          <w:rFonts w:hint="eastAsia" w:ascii="仿宋" w:hAnsi="仿宋" w:eastAsia="仿宋"/>
          <w:sz w:val="28"/>
          <w:szCs w:val="28"/>
          <w:u w:val="single"/>
        </w:rPr>
        <w:t>杜慧琦</w:t>
      </w:r>
      <w:r>
        <w:rPr>
          <w:rFonts w:ascii="仿宋" w:hAnsi="仿宋" w:eastAsia="仿宋" w:cs="Times New Roman"/>
          <w:bCs/>
          <w:sz w:val="24"/>
          <w:szCs w:val="24"/>
          <w:u w:val="single"/>
        </w:rPr>
        <w:t>_____</w:t>
      </w:r>
      <w:r>
        <w:rPr>
          <w:rFonts w:ascii="仿宋" w:hAnsi="仿宋" w:eastAsia="仿宋" w:cs="Times New Roman"/>
          <w:bCs/>
          <w:sz w:val="24"/>
          <w:szCs w:val="24"/>
        </w:rPr>
        <w:t>____   手机</w:t>
      </w:r>
      <w:r>
        <w:rPr>
          <w:rFonts w:hint="eastAsia" w:ascii="仿宋" w:hAnsi="仿宋" w:eastAsia="仿宋" w:cs="Times New Roman"/>
          <w:bCs/>
          <w:sz w:val="24"/>
          <w:szCs w:val="24"/>
        </w:rPr>
        <w:t xml:space="preserve">号 </w:t>
      </w:r>
      <w:r>
        <w:rPr>
          <w:rFonts w:ascii="仿宋" w:hAnsi="仿宋" w:eastAsia="仿宋" w:cs="Times New Roman"/>
          <w:bCs/>
          <w:sz w:val="24"/>
          <w:szCs w:val="24"/>
        </w:rPr>
        <w:t>_</w:t>
      </w:r>
      <w:r>
        <w:rPr>
          <w:rFonts w:ascii="仿宋" w:hAnsi="仿宋" w:eastAsia="仿宋" w:cs="Times New Roman"/>
          <w:bCs/>
          <w:sz w:val="24"/>
          <w:szCs w:val="24"/>
          <w:u w:val="single"/>
        </w:rPr>
        <w:t>13916049109</w:t>
      </w:r>
      <w:r>
        <w:rPr>
          <w:rFonts w:ascii="仿宋" w:hAnsi="仿宋" w:eastAsia="仿宋" w:cs="Times New Roman"/>
          <w:bCs/>
          <w:sz w:val="24"/>
          <w:szCs w:val="24"/>
        </w:rPr>
        <w:t>______变动说明</w:t>
      </w:r>
      <w:r>
        <w:rPr>
          <w:rFonts w:hint="eastAsia" w:ascii="仿宋" w:hAnsi="仿宋" w:eastAsia="仿宋" w:cs="Times New Roman"/>
          <w:bCs/>
          <w:sz w:val="24"/>
          <w:szCs w:val="24"/>
        </w:rPr>
        <w:t xml:space="preserve"> </w:t>
      </w:r>
      <w:r>
        <w:rPr>
          <w:rFonts w:ascii="仿宋" w:hAnsi="仿宋" w:eastAsia="仿宋" w:cs="Times New Roman"/>
          <w:bCs/>
          <w:sz w:val="24"/>
          <w:szCs w:val="24"/>
        </w:rPr>
        <w:t>______________</w:t>
      </w:r>
    </w:p>
    <w:p>
      <w:pPr>
        <w:spacing w:line="360" w:lineRule="auto"/>
        <w:rPr>
          <w:rFonts w:ascii="仿宋" w:hAnsi="仿宋" w:eastAsia="仿宋" w:cs="Times New Roman"/>
          <w:bCs/>
          <w:sz w:val="24"/>
          <w:szCs w:val="24"/>
        </w:rPr>
      </w:pPr>
      <w:r>
        <w:rPr>
          <w:rFonts w:ascii="仿宋" w:hAnsi="仿宋" w:eastAsia="仿宋" w:cs="Times New Roman"/>
          <w:bCs/>
          <w:sz w:val="24"/>
          <w:szCs w:val="24"/>
        </w:rPr>
        <w:t>2.受援学校名称_</w:t>
      </w:r>
      <w:r>
        <w:rPr>
          <w:rFonts w:hint="eastAsia" w:ascii="仿宋" w:hAnsi="仿宋" w:eastAsia="仿宋" w:cs="Times New Roman"/>
          <w:bCs/>
          <w:sz w:val="24"/>
          <w:szCs w:val="24"/>
          <w:lang w:val="en-US" w:eastAsia="zh-CN"/>
        </w:rPr>
        <w:t>上海市青浦区重固中学</w:t>
      </w:r>
      <w:r>
        <w:rPr>
          <w:rFonts w:ascii="仿宋" w:hAnsi="仿宋" w:eastAsia="仿宋" w:cs="Times New Roman"/>
          <w:bCs/>
          <w:sz w:val="24"/>
          <w:szCs w:val="24"/>
        </w:rPr>
        <w:t xml:space="preserve">____  </w:t>
      </w:r>
      <w:r>
        <w:rPr>
          <w:rFonts w:hint="eastAsia" w:ascii="仿宋" w:hAnsi="仿宋" w:eastAsia="仿宋" w:cs="Times New Roman"/>
          <w:bCs/>
          <w:sz w:val="24"/>
          <w:szCs w:val="24"/>
        </w:rPr>
        <w:t xml:space="preserve">地址 </w:t>
      </w:r>
      <w:r>
        <w:rPr>
          <w:rFonts w:ascii="仿宋" w:hAnsi="仿宋" w:eastAsia="仿宋" w:cs="Times New Roman"/>
          <w:bCs/>
          <w:sz w:val="24"/>
          <w:szCs w:val="24"/>
        </w:rPr>
        <w:t>_</w:t>
      </w:r>
      <w:r>
        <w:rPr>
          <w:rFonts w:hint="eastAsia" w:ascii="仿宋" w:hAnsi="仿宋" w:eastAsia="仿宋" w:cs="Times New Roman"/>
          <w:bCs/>
          <w:sz w:val="24"/>
          <w:szCs w:val="24"/>
          <w:lang w:val="en-US" w:eastAsia="zh-CN"/>
        </w:rPr>
        <w:t>青浦区重固镇福泉山路657号</w:t>
      </w:r>
      <w:r>
        <w:rPr>
          <w:rFonts w:ascii="仿宋" w:hAnsi="仿宋" w:eastAsia="仿宋" w:cs="Times New Roman"/>
          <w:bCs/>
          <w:sz w:val="24"/>
          <w:szCs w:val="24"/>
        </w:rPr>
        <w:t>_________________</w:t>
      </w:r>
    </w:p>
    <w:p>
      <w:pPr>
        <w:spacing w:line="360" w:lineRule="auto"/>
        <w:rPr>
          <w:rFonts w:ascii="仿宋" w:hAnsi="仿宋" w:eastAsia="仿宋" w:cs="Times New Roman"/>
          <w:bCs/>
          <w:sz w:val="24"/>
          <w:szCs w:val="24"/>
        </w:rPr>
      </w:pPr>
      <w:r>
        <w:rPr>
          <w:rFonts w:ascii="仿宋" w:hAnsi="仿宋" w:eastAsia="仿宋" w:cs="Times New Roman"/>
          <w:bCs/>
          <w:sz w:val="24"/>
          <w:szCs w:val="24"/>
        </w:rPr>
        <w:t xml:space="preserve">          </w:t>
      </w:r>
      <w:r>
        <w:rPr>
          <w:rFonts w:hint="eastAsia" w:ascii="仿宋" w:hAnsi="仿宋" w:eastAsia="仿宋" w:cs="Times New Roman"/>
          <w:bCs/>
          <w:sz w:val="24"/>
          <w:szCs w:val="24"/>
        </w:rPr>
        <w:t xml:space="preserve">负责人 </w:t>
      </w:r>
      <w:r>
        <w:rPr>
          <w:rFonts w:ascii="仿宋" w:hAnsi="仿宋" w:eastAsia="仿宋" w:cs="Times New Roman"/>
          <w:bCs/>
          <w:sz w:val="24"/>
          <w:szCs w:val="24"/>
        </w:rPr>
        <w:t>____</w:t>
      </w:r>
      <w:r>
        <w:rPr>
          <w:rFonts w:hint="eastAsia" w:ascii="仿宋" w:hAnsi="仿宋" w:eastAsia="仿宋" w:cs="Times New Roman"/>
          <w:bCs/>
          <w:sz w:val="24"/>
          <w:szCs w:val="24"/>
          <w:lang w:val="en-US" w:eastAsia="zh-CN"/>
        </w:rPr>
        <w:t>邓大荣</w:t>
      </w:r>
      <w:r>
        <w:rPr>
          <w:rFonts w:ascii="仿宋" w:hAnsi="仿宋" w:eastAsia="仿宋" w:cs="Times New Roman"/>
          <w:bCs/>
          <w:sz w:val="24"/>
          <w:szCs w:val="24"/>
        </w:rPr>
        <w:t>________ 手机</w:t>
      </w:r>
      <w:r>
        <w:rPr>
          <w:rFonts w:hint="eastAsia" w:ascii="仿宋" w:hAnsi="仿宋" w:eastAsia="仿宋" w:cs="Times New Roman"/>
          <w:bCs/>
          <w:sz w:val="24"/>
          <w:szCs w:val="24"/>
        </w:rPr>
        <w:t xml:space="preserve">号 </w:t>
      </w:r>
      <w:r>
        <w:rPr>
          <w:rFonts w:ascii="仿宋" w:hAnsi="仿宋" w:eastAsia="仿宋" w:cs="Times New Roman"/>
          <w:bCs/>
          <w:sz w:val="24"/>
          <w:szCs w:val="24"/>
        </w:rPr>
        <w:t>_</w:t>
      </w:r>
      <w:r>
        <w:rPr>
          <w:rFonts w:hint="eastAsia" w:ascii="仿宋" w:hAnsi="仿宋" w:eastAsia="仿宋" w:cs="Times New Roman"/>
          <w:bCs/>
          <w:sz w:val="24"/>
          <w:szCs w:val="24"/>
          <w:lang w:val="en-US" w:eastAsia="zh-CN"/>
        </w:rPr>
        <w:t>18930663155</w:t>
      </w:r>
      <w:r>
        <w:rPr>
          <w:rFonts w:ascii="仿宋" w:hAnsi="仿宋" w:eastAsia="仿宋" w:cs="Times New Roman"/>
          <w:bCs/>
          <w:sz w:val="24"/>
          <w:szCs w:val="24"/>
        </w:rPr>
        <w:t xml:space="preserve">_ </w:t>
      </w:r>
      <w:r>
        <w:rPr>
          <w:rFonts w:hint="eastAsia" w:ascii="仿宋" w:hAnsi="仿宋" w:eastAsia="仿宋" w:cs="Times New Roman"/>
          <w:bCs/>
          <w:sz w:val="24"/>
          <w:szCs w:val="24"/>
        </w:rPr>
        <w:t xml:space="preserve">现任职务 </w:t>
      </w:r>
      <w:r>
        <w:rPr>
          <w:rFonts w:ascii="仿宋" w:hAnsi="仿宋" w:eastAsia="仿宋" w:cs="Times New Roman"/>
          <w:bCs/>
          <w:sz w:val="24"/>
          <w:szCs w:val="24"/>
        </w:rPr>
        <w:t>__</w:t>
      </w:r>
      <w:r>
        <w:rPr>
          <w:rFonts w:hint="eastAsia" w:ascii="仿宋" w:hAnsi="仿宋" w:eastAsia="仿宋" w:cs="Times New Roman"/>
          <w:bCs/>
          <w:sz w:val="24"/>
          <w:szCs w:val="24"/>
          <w:lang w:val="en-US" w:eastAsia="zh-CN"/>
        </w:rPr>
        <w:t>支部书记、校长</w:t>
      </w:r>
      <w:r>
        <w:rPr>
          <w:rFonts w:ascii="仿宋" w:hAnsi="仿宋" w:eastAsia="仿宋" w:cs="Times New Roman"/>
          <w:bCs/>
          <w:sz w:val="24"/>
          <w:szCs w:val="24"/>
        </w:rPr>
        <w:t>____________</w:t>
      </w:r>
    </w:p>
    <w:p>
      <w:pPr>
        <w:spacing w:line="360" w:lineRule="auto"/>
        <w:ind w:firstLine="1200" w:firstLineChars="500"/>
        <w:rPr>
          <w:rFonts w:ascii="仿宋" w:hAnsi="仿宋" w:eastAsia="仿宋" w:cs="Times New Roman"/>
          <w:bCs/>
          <w:sz w:val="24"/>
          <w:szCs w:val="24"/>
        </w:rPr>
      </w:pPr>
      <w:r>
        <w:rPr>
          <w:rFonts w:hint="eastAsia" w:ascii="仿宋" w:hAnsi="仿宋" w:eastAsia="仿宋" w:cs="Times New Roman"/>
          <w:bCs/>
          <w:sz w:val="24"/>
          <w:szCs w:val="24"/>
        </w:rPr>
        <w:t>联系人</w:t>
      </w:r>
      <w:r>
        <w:rPr>
          <w:rFonts w:ascii="仿宋" w:hAnsi="仿宋" w:eastAsia="仿宋" w:cs="Times New Roman"/>
          <w:bCs/>
          <w:sz w:val="24"/>
          <w:szCs w:val="24"/>
        </w:rPr>
        <w:t>_</w:t>
      </w:r>
      <w:r>
        <w:rPr>
          <w:rFonts w:hint="eastAsia" w:ascii="仿宋" w:hAnsi="仿宋" w:eastAsia="仿宋" w:cs="Times New Roman"/>
          <w:bCs/>
          <w:sz w:val="24"/>
          <w:szCs w:val="24"/>
          <w:lang w:val="en-US" w:eastAsia="zh-CN"/>
        </w:rPr>
        <w:t>冉红杰</w:t>
      </w:r>
      <w:r>
        <w:rPr>
          <w:rFonts w:ascii="仿宋" w:hAnsi="仿宋" w:eastAsia="仿宋" w:cs="Times New Roman"/>
          <w:bCs/>
          <w:sz w:val="24"/>
          <w:szCs w:val="24"/>
        </w:rPr>
        <w:t>___________ 手机</w:t>
      </w:r>
      <w:r>
        <w:rPr>
          <w:rFonts w:hint="eastAsia" w:ascii="仿宋" w:hAnsi="仿宋" w:eastAsia="仿宋" w:cs="Times New Roman"/>
          <w:bCs/>
          <w:sz w:val="24"/>
          <w:szCs w:val="24"/>
        </w:rPr>
        <w:t xml:space="preserve">号 </w:t>
      </w:r>
      <w:r>
        <w:rPr>
          <w:rFonts w:ascii="仿宋" w:hAnsi="仿宋" w:eastAsia="仿宋" w:cs="Times New Roman"/>
          <w:bCs/>
          <w:sz w:val="24"/>
          <w:szCs w:val="24"/>
        </w:rPr>
        <w:t>_</w:t>
      </w:r>
      <w:r>
        <w:rPr>
          <w:rFonts w:hint="eastAsia" w:ascii="仿宋" w:hAnsi="仿宋" w:eastAsia="仿宋" w:cs="Times New Roman"/>
          <w:bCs/>
          <w:sz w:val="24"/>
          <w:szCs w:val="24"/>
          <w:lang w:val="en-US" w:eastAsia="zh-CN"/>
        </w:rPr>
        <w:t>1893066327</w:t>
      </w:r>
      <w:r>
        <w:rPr>
          <w:rFonts w:ascii="仿宋" w:hAnsi="仿宋" w:eastAsia="仿宋" w:cs="Times New Roman"/>
          <w:bCs/>
          <w:sz w:val="24"/>
          <w:szCs w:val="24"/>
        </w:rPr>
        <w:t>_____________</w:t>
      </w:r>
      <w:r>
        <w:rPr>
          <w:rFonts w:hint="eastAsia" w:ascii="仿宋" w:hAnsi="仿宋" w:eastAsia="仿宋" w:cs="Times New Roman"/>
          <w:bCs/>
          <w:sz w:val="24"/>
          <w:szCs w:val="24"/>
        </w:rPr>
        <w:t xml:space="preserve">邮箱 </w:t>
      </w:r>
      <w:r>
        <w:rPr>
          <w:rFonts w:hint="eastAsia" w:ascii="仿宋" w:hAnsi="仿宋" w:eastAsia="仿宋" w:cs="Times New Roman"/>
          <w:bCs/>
          <w:sz w:val="24"/>
          <w:szCs w:val="24"/>
          <w:lang w:val="en-US" w:eastAsia="zh-CN"/>
        </w:rPr>
        <w:t>redjackran@163.com</w:t>
      </w:r>
      <w:r>
        <w:rPr>
          <w:rFonts w:ascii="仿宋" w:hAnsi="仿宋" w:eastAsia="仿宋" w:cs="Times New Roman"/>
          <w:bCs/>
          <w:sz w:val="24"/>
          <w:szCs w:val="24"/>
        </w:rPr>
        <w:t>____</w:t>
      </w:r>
    </w:p>
    <w:p>
      <w:pPr>
        <w:spacing w:line="360" w:lineRule="auto"/>
        <w:ind w:firstLine="1200" w:firstLineChars="500"/>
        <w:rPr>
          <w:rFonts w:ascii="仿宋" w:hAnsi="仿宋" w:eastAsia="仿宋" w:cs="Times New Roman"/>
          <w:bCs/>
          <w:sz w:val="24"/>
          <w:szCs w:val="24"/>
        </w:rPr>
      </w:pPr>
      <w:r>
        <w:rPr>
          <w:rFonts w:hint="eastAsia" w:ascii="仿宋" w:hAnsi="仿宋" w:eastAsia="仿宋" w:cs="Times New Roman"/>
          <w:bCs/>
          <w:sz w:val="24"/>
          <w:szCs w:val="24"/>
        </w:rPr>
        <w:t xml:space="preserve">法人 </w:t>
      </w:r>
      <w:r>
        <w:rPr>
          <w:rFonts w:ascii="仿宋" w:hAnsi="仿宋" w:eastAsia="仿宋" w:cs="Times New Roman"/>
          <w:bCs/>
          <w:sz w:val="24"/>
          <w:szCs w:val="24"/>
        </w:rPr>
        <w:t>_</w:t>
      </w:r>
      <w:r>
        <w:rPr>
          <w:rFonts w:hint="eastAsia" w:ascii="仿宋" w:hAnsi="仿宋" w:eastAsia="仿宋" w:cs="Times New Roman"/>
          <w:bCs/>
          <w:sz w:val="24"/>
          <w:szCs w:val="24"/>
          <w:lang w:val="en-US" w:eastAsia="zh-CN"/>
        </w:rPr>
        <w:t>邓大荣</w:t>
      </w:r>
      <w:r>
        <w:rPr>
          <w:rFonts w:ascii="仿宋" w:hAnsi="仿宋" w:eastAsia="仿宋" w:cs="Times New Roman"/>
          <w:bCs/>
          <w:sz w:val="24"/>
          <w:szCs w:val="24"/>
        </w:rPr>
        <w:t>__________   手机</w:t>
      </w:r>
      <w:r>
        <w:rPr>
          <w:rFonts w:hint="eastAsia" w:ascii="仿宋" w:hAnsi="仿宋" w:eastAsia="仿宋" w:cs="Times New Roman"/>
          <w:bCs/>
          <w:sz w:val="24"/>
          <w:szCs w:val="24"/>
        </w:rPr>
        <w:t xml:space="preserve">号 </w:t>
      </w:r>
      <w:r>
        <w:rPr>
          <w:rFonts w:ascii="仿宋" w:hAnsi="仿宋" w:eastAsia="仿宋" w:cs="Times New Roman"/>
          <w:bCs/>
          <w:sz w:val="24"/>
          <w:szCs w:val="24"/>
        </w:rPr>
        <w:t>_</w:t>
      </w:r>
      <w:r>
        <w:rPr>
          <w:rFonts w:hint="eastAsia" w:ascii="仿宋" w:hAnsi="仿宋" w:eastAsia="仿宋" w:cs="Times New Roman"/>
          <w:bCs/>
          <w:sz w:val="24"/>
          <w:szCs w:val="24"/>
          <w:lang w:val="en-US" w:eastAsia="zh-CN"/>
        </w:rPr>
        <w:t>18930663155</w:t>
      </w:r>
      <w:r>
        <w:rPr>
          <w:rFonts w:ascii="仿宋" w:hAnsi="仿宋" w:eastAsia="仿宋" w:cs="Times New Roman"/>
          <w:bCs/>
          <w:sz w:val="24"/>
          <w:szCs w:val="24"/>
        </w:rPr>
        <w:t>_____变动说明</w:t>
      </w:r>
      <w:r>
        <w:rPr>
          <w:rFonts w:hint="eastAsia" w:ascii="仿宋" w:hAnsi="仿宋" w:eastAsia="仿宋" w:cs="Times New Roman"/>
          <w:bCs/>
          <w:sz w:val="24"/>
          <w:szCs w:val="24"/>
        </w:rPr>
        <w:t xml:space="preserve"> </w:t>
      </w:r>
      <w:r>
        <w:rPr>
          <w:rFonts w:ascii="仿宋" w:hAnsi="仿宋" w:eastAsia="仿宋" w:cs="Times New Roman"/>
          <w:bCs/>
          <w:sz w:val="24"/>
          <w:szCs w:val="24"/>
        </w:rPr>
        <w:t>__</w:t>
      </w:r>
      <w:r>
        <w:rPr>
          <w:rFonts w:ascii="宋体" w:hAnsi="宋体" w:eastAsia="宋体" w:cs="Times New Roman"/>
          <w:sz w:val="24"/>
          <w:szCs w:val="24"/>
          <w:u w:val="single"/>
        </w:rPr>
        <w:t>_</w:t>
      </w:r>
      <w:r>
        <w:rPr>
          <w:rFonts w:hint="eastAsia" w:ascii="宋体" w:hAnsi="宋体" w:eastAsia="宋体" w:cs="Times New Roman"/>
          <w:sz w:val="24"/>
          <w:szCs w:val="24"/>
          <w:u w:val="single"/>
        </w:rPr>
        <w:t>原为 宋伟倩2</w:t>
      </w:r>
      <w:r>
        <w:rPr>
          <w:rFonts w:ascii="宋体" w:hAnsi="宋体" w:eastAsia="宋体" w:cs="Times New Roman"/>
          <w:sz w:val="24"/>
          <w:szCs w:val="24"/>
          <w:u w:val="single"/>
        </w:rPr>
        <w:t>021</w:t>
      </w:r>
      <w:r>
        <w:rPr>
          <w:rFonts w:hint="eastAsia" w:ascii="宋体" w:hAnsi="宋体" w:eastAsia="宋体" w:cs="Times New Roman"/>
          <w:sz w:val="24"/>
          <w:szCs w:val="24"/>
          <w:u w:val="single"/>
        </w:rPr>
        <w:t>年3月调整为邓大</w:t>
      </w:r>
      <w:r>
        <w:rPr>
          <w:rFonts w:hint="eastAsia" w:ascii="宋体" w:hAnsi="宋体" w:eastAsia="宋体" w:cs="Times New Roman"/>
          <w:sz w:val="24"/>
          <w:szCs w:val="24"/>
          <w:u w:val="single"/>
          <w:lang w:val="en-US" w:eastAsia="zh-CN"/>
        </w:rPr>
        <w:t>荣</w:t>
      </w:r>
      <w:r>
        <w:rPr>
          <w:rFonts w:ascii="仿宋" w:hAnsi="仿宋" w:eastAsia="仿宋" w:cs="Times New Roman"/>
          <w:bCs/>
          <w:sz w:val="24"/>
          <w:szCs w:val="24"/>
        </w:rPr>
        <w:t>__</w:t>
      </w:r>
    </w:p>
    <w:p>
      <w:pPr>
        <w:spacing w:line="360" w:lineRule="auto"/>
        <w:rPr>
          <w:rFonts w:ascii="仿宋" w:hAnsi="仿宋" w:eastAsia="仿宋" w:cs="Times New Roman"/>
          <w:bCs/>
          <w:sz w:val="24"/>
          <w:szCs w:val="24"/>
        </w:rPr>
      </w:pPr>
      <w:r>
        <w:rPr>
          <w:rFonts w:ascii="仿宋" w:hAnsi="仿宋" w:eastAsia="仿宋" w:cs="Times New Roman"/>
          <w:bCs/>
          <w:sz w:val="24"/>
          <w:szCs w:val="24"/>
        </w:rPr>
        <w:t>3.受援学校规模：班级数</w:t>
      </w:r>
      <w:r>
        <w:rPr>
          <w:rFonts w:hint="eastAsia" w:ascii="仿宋" w:hAnsi="仿宋" w:eastAsia="仿宋" w:cs="Times New Roman"/>
          <w:bCs/>
          <w:sz w:val="24"/>
          <w:szCs w:val="24"/>
        </w:rPr>
        <w:t>：</w:t>
      </w:r>
      <w:r>
        <w:rPr>
          <w:rFonts w:ascii="仿宋" w:hAnsi="仿宋" w:eastAsia="仿宋" w:cs="Times New Roman"/>
          <w:bCs/>
          <w:sz w:val="24"/>
          <w:szCs w:val="24"/>
        </w:rPr>
        <w:t xml:space="preserve">小学 ________（班）        </w:t>
      </w:r>
      <w:r>
        <w:rPr>
          <w:rFonts w:hint="eastAsia" w:ascii="仿宋" w:hAnsi="仿宋" w:eastAsia="仿宋" w:cs="Times New Roman"/>
          <w:bCs/>
          <w:sz w:val="24"/>
          <w:szCs w:val="24"/>
        </w:rPr>
        <w:t>中学</w:t>
      </w:r>
      <w:r>
        <w:rPr>
          <w:rFonts w:ascii="仿宋" w:hAnsi="仿宋" w:eastAsia="仿宋" w:cs="Times New Roman"/>
          <w:bCs/>
          <w:sz w:val="24"/>
          <w:szCs w:val="24"/>
        </w:rPr>
        <w:t xml:space="preserve"> __</w:t>
      </w:r>
      <w:r>
        <w:rPr>
          <w:rFonts w:hint="eastAsia" w:ascii="仿宋" w:hAnsi="仿宋" w:eastAsia="仿宋" w:cs="Times New Roman"/>
          <w:bCs/>
          <w:sz w:val="24"/>
          <w:szCs w:val="24"/>
          <w:lang w:val="en-US" w:eastAsia="zh-CN"/>
        </w:rPr>
        <w:t>17</w:t>
      </w:r>
      <w:r>
        <w:rPr>
          <w:rFonts w:ascii="仿宋" w:hAnsi="仿宋" w:eastAsia="仿宋" w:cs="Times New Roman"/>
          <w:bCs/>
          <w:sz w:val="24"/>
          <w:szCs w:val="24"/>
        </w:rPr>
        <w:t>______（班）</w:t>
      </w:r>
    </w:p>
    <w:p>
      <w:pPr>
        <w:spacing w:line="360" w:lineRule="auto"/>
        <w:rPr>
          <w:rFonts w:ascii="仿宋" w:hAnsi="仿宋" w:eastAsia="仿宋" w:cs="Times New Roman"/>
          <w:bCs/>
          <w:sz w:val="24"/>
          <w:szCs w:val="24"/>
        </w:rPr>
      </w:pPr>
      <w:r>
        <w:rPr>
          <w:rFonts w:ascii="仿宋" w:hAnsi="仿宋" w:eastAsia="仿宋" w:cs="Times New Roman"/>
          <w:bCs/>
          <w:sz w:val="24"/>
          <w:szCs w:val="24"/>
        </w:rPr>
        <w:t xml:space="preserve">                学生数：小学 ________（人）        中学 __</w:t>
      </w:r>
      <w:r>
        <w:rPr>
          <w:rFonts w:hint="eastAsia" w:ascii="仿宋" w:hAnsi="仿宋" w:eastAsia="仿宋" w:cs="Times New Roman"/>
          <w:bCs/>
          <w:sz w:val="24"/>
          <w:szCs w:val="24"/>
          <w:lang w:val="en-US" w:eastAsia="zh-CN"/>
        </w:rPr>
        <w:t>648</w:t>
      </w:r>
      <w:r>
        <w:rPr>
          <w:rFonts w:ascii="仿宋" w:hAnsi="仿宋" w:eastAsia="仿宋" w:cs="Times New Roman"/>
          <w:bCs/>
          <w:sz w:val="24"/>
          <w:szCs w:val="24"/>
        </w:rPr>
        <w:t>______（人）</w:t>
      </w:r>
    </w:p>
    <w:p>
      <w:pPr>
        <w:spacing w:line="360" w:lineRule="auto"/>
        <w:ind w:firstLine="1920" w:firstLineChars="800"/>
        <w:rPr>
          <w:rFonts w:ascii="仿宋" w:hAnsi="仿宋" w:eastAsia="仿宋" w:cs="Times New Roman"/>
          <w:bCs/>
          <w:sz w:val="24"/>
          <w:szCs w:val="24"/>
        </w:rPr>
      </w:pPr>
      <w:r>
        <w:rPr>
          <w:rFonts w:hint="eastAsia" w:ascii="仿宋" w:hAnsi="仿宋" w:eastAsia="仿宋" w:cs="Times New Roman"/>
          <w:bCs/>
          <w:sz w:val="24"/>
          <w:szCs w:val="24"/>
        </w:rPr>
        <w:t>在编教师</w:t>
      </w:r>
      <w:r>
        <w:rPr>
          <w:rFonts w:ascii="仿宋" w:hAnsi="仿宋" w:eastAsia="仿宋" w:cs="Times New Roman"/>
          <w:bCs/>
          <w:sz w:val="24"/>
          <w:szCs w:val="24"/>
        </w:rPr>
        <w:t>数：小学 ________（人）        中学 __</w:t>
      </w:r>
      <w:r>
        <w:rPr>
          <w:rFonts w:hint="eastAsia" w:ascii="仿宋" w:hAnsi="仿宋" w:eastAsia="仿宋" w:cs="Times New Roman"/>
          <w:bCs/>
          <w:sz w:val="24"/>
          <w:szCs w:val="24"/>
          <w:lang w:val="en-US" w:eastAsia="zh-CN"/>
        </w:rPr>
        <w:t>59</w:t>
      </w:r>
      <w:r>
        <w:rPr>
          <w:rFonts w:ascii="仿宋" w:hAnsi="仿宋" w:eastAsia="仿宋" w:cs="Times New Roman"/>
          <w:bCs/>
          <w:sz w:val="24"/>
          <w:szCs w:val="24"/>
        </w:rPr>
        <w:t>______（人）</w:t>
      </w:r>
    </w:p>
    <w:p>
      <w:pPr>
        <w:spacing w:line="360" w:lineRule="auto"/>
        <w:rPr>
          <w:rFonts w:ascii="仿宋" w:hAnsi="仿宋" w:eastAsia="仿宋" w:cs="Times New Roman"/>
          <w:bCs/>
          <w:sz w:val="24"/>
          <w:szCs w:val="24"/>
        </w:rPr>
      </w:pPr>
    </w:p>
    <w:p>
      <w:pPr>
        <w:spacing w:line="360" w:lineRule="auto"/>
        <w:rPr>
          <w:rFonts w:ascii="仿宋" w:hAnsi="仿宋" w:eastAsia="仿宋" w:cs="Times New Roman"/>
          <w:bCs/>
          <w:sz w:val="24"/>
          <w:szCs w:val="24"/>
          <w:u w:val="single"/>
        </w:rPr>
      </w:pPr>
      <w:r>
        <w:rPr>
          <w:rFonts w:ascii="仿宋" w:hAnsi="仿宋" w:eastAsia="仿宋" w:cs="Times New Roman"/>
          <w:bCs/>
          <w:sz w:val="24"/>
          <w:szCs w:val="24"/>
        </w:rPr>
        <w:t>4.项目实施以来，支援</w:t>
      </w:r>
      <w:r>
        <w:rPr>
          <w:rFonts w:hint="eastAsia" w:ascii="仿宋" w:hAnsi="仿宋" w:eastAsia="仿宋" w:cs="Times New Roman"/>
          <w:bCs/>
          <w:sz w:val="24"/>
          <w:szCs w:val="24"/>
        </w:rPr>
        <w:t>单位</w:t>
      </w:r>
      <w:r>
        <w:rPr>
          <w:rFonts w:ascii="仿宋" w:hAnsi="仿宋" w:eastAsia="仿宋" w:cs="Times New Roman"/>
          <w:bCs/>
          <w:sz w:val="24"/>
          <w:szCs w:val="24"/>
        </w:rPr>
        <w:t>派出常驻</w:t>
      </w:r>
      <w:r>
        <w:rPr>
          <w:rStyle w:val="16"/>
          <w:rFonts w:ascii="仿宋" w:hAnsi="仿宋" w:eastAsia="仿宋" w:cs="Times New Roman"/>
          <w:bCs/>
          <w:sz w:val="24"/>
          <w:szCs w:val="24"/>
        </w:rPr>
        <w:footnoteReference w:id="0"/>
      </w:r>
      <w:r>
        <w:rPr>
          <w:rFonts w:hint="eastAsia" w:ascii="仿宋" w:hAnsi="仿宋" w:eastAsia="仿宋" w:cs="Times New Roman"/>
          <w:bCs/>
          <w:sz w:val="24"/>
          <w:szCs w:val="24"/>
        </w:rPr>
        <w:t>受援学校的管理人员数</w:t>
      </w:r>
      <w:r>
        <w:rPr>
          <w:rFonts w:ascii="仿宋" w:hAnsi="仿宋" w:eastAsia="仿宋" w:cs="Times New Roman"/>
          <w:bCs/>
          <w:sz w:val="24"/>
          <w:szCs w:val="24"/>
          <w:u w:val="single"/>
        </w:rPr>
        <w:t>__1_</w:t>
      </w:r>
      <w:r>
        <w:rPr>
          <w:rFonts w:ascii="仿宋" w:hAnsi="仿宋" w:eastAsia="仿宋" w:cs="Times New Roman"/>
          <w:bCs/>
          <w:sz w:val="24"/>
          <w:szCs w:val="24"/>
        </w:rPr>
        <w:t>_</w:t>
      </w:r>
      <w:r>
        <w:rPr>
          <w:rFonts w:hint="eastAsia" w:ascii="仿宋" w:hAnsi="仿宋" w:eastAsia="仿宋" w:cs="Times New Roman"/>
          <w:bCs/>
          <w:sz w:val="24"/>
          <w:szCs w:val="24"/>
        </w:rPr>
        <w:t>教师数</w:t>
      </w:r>
      <w:r>
        <w:rPr>
          <w:rFonts w:ascii="仿宋" w:hAnsi="仿宋" w:eastAsia="仿宋" w:cs="Times New Roman"/>
          <w:bCs/>
          <w:sz w:val="24"/>
          <w:szCs w:val="24"/>
          <w:u w:val="single"/>
        </w:rPr>
        <w:t xml:space="preserve"> _3__</w:t>
      </w:r>
    </w:p>
    <w:p>
      <w:pPr>
        <w:spacing w:line="360" w:lineRule="auto"/>
        <w:rPr>
          <w:rFonts w:ascii="仿宋" w:hAnsi="仿宋" w:eastAsia="仿宋" w:cs="Times New Roman"/>
          <w:bCs/>
          <w:sz w:val="24"/>
          <w:szCs w:val="24"/>
        </w:rPr>
      </w:pPr>
      <w:r>
        <w:rPr>
          <w:rFonts w:ascii="仿宋" w:hAnsi="仿宋" w:eastAsia="仿宋" w:cs="Times New Roman"/>
          <w:bCs/>
          <w:sz w:val="24"/>
          <w:szCs w:val="24"/>
        </w:rPr>
        <w:t xml:space="preserve">  常驻管理人员到受援学校的频率</w:t>
      </w:r>
      <w:r>
        <w:rPr>
          <w:rFonts w:hint="eastAsia" w:ascii="仿宋" w:hAnsi="仿宋" w:eastAsia="仿宋" w:cs="Times New Roman"/>
          <w:bCs/>
          <w:sz w:val="24"/>
          <w:szCs w:val="24"/>
        </w:rPr>
        <w:t xml:space="preserve"> </w:t>
      </w:r>
      <w:r>
        <w:rPr>
          <w:rFonts w:ascii="仿宋" w:hAnsi="仿宋" w:eastAsia="仿宋" w:cs="Times New Roman"/>
          <w:bCs/>
          <w:sz w:val="24"/>
          <w:szCs w:val="24"/>
        </w:rPr>
        <w:t>每人每周</w:t>
      </w:r>
      <w:r>
        <w:rPr>
          <w:rFonts w:hint="eastAsia" w:ascii="仿宋" w:hAnsi="仿宋" w:eastAsia="仿宋" w:cs="Times New Roman"/>
          <w:bCs/>
          <w:sz w:val="24"/>
          <w:szCs w:val="24"/>
          <w:u w:val="single"/>
        </w:rPr>
        <w:t xml:space="preserve"> </w:t>
      </w:r>
      <w:r>
        <w:rPr>
          <w:rFonts w:ascii="仿宋" w:hAnsi="仿宋" w:eastAsia="仿宋" w:cs="Times New Roman"/>
          <w:bCs/>
          <w:sz w:val="24"/>
          <w:szCs w:val="24"/>
          <w:u w:val="single"/>
        </w:rPr>
        <w:t xml:space="preserve"> 3 </w:t>
      </w:r>
      <w:r>
        <w:rPr>
          <w:rFonts w:ascii="仿宋" w:hAnsi="仿宋" w:eastAsia="仿宋" w:cs="Times New Roman"/>
          <w:bCs/>
          <w:sz w:val="24"/>
          <w:szCs w:val="24"/>
        </w:rPr>
        <w:t>天</w:t>
      </w:r>
    </w:p>
    <w:p>
      <w:pPr>
        <w:spacing w:line="360" w:lineRule="auto"/>
        <w:rPr>
          <w:rFonts w:ascii="仿宋" w:hAnsi="仿宋" w:eastAsia="仿宋" w:cs="Times New Roman"/>
          <w:bCs/>
          <w:sz w:val="24"/>
          <w:szCs w:val="24"/>
        </w:rPr>
      </w:pPr>
      <w:r>
        <w:rPr>
          <w:rFonts w:ascii="仿宋" w:hAnsi="仿宋" w:eastAsia="仿宋" w:cs="Times New Roman"/>
          <w:bCs/>
          <w:sz w:val="24"/>
          <w:szCs w:val="24"/>
        </w:rPr>
        <w:t xml:space="preserve">  常驻教师团队到受援学校的频率</w:t>
      </w:r>
      <w:r>
        <w:rPr>
          <w:rFonts w:hint="eastAsia" w:ascii="仿宋" w:hAnsi="仿宋" w:eastAsia="仿宋" w:cs="Times New Roman"/>
          <w:bCs/>
          <w:sz w:val="24"/>
          <w:szCs w:val="24"/>
        </w:rPr>
        <w:t xml:space="preserve"> </w:t>
      </w:r>
      <w:r>
        <w:rPr>
          <w:rFonts w:ascii="仿宋" w:hAnsi="仿宋" w:eastAsia="仿宋" w:cs="Times New Roman"/>
          <w:bCs/>
          <w:sz w:val="24"/>
          <w:szCs w:val="24"/>
        </w:rPr>
        <w:t>每人每周</w:t>
      </w:r>
      <w:r>
        <w:rPr>
          <w:rFonts w:hint="eastAsia" w:ascii="仿宋" w:hAnsi="仿宋" w:eastAsia="仿宋" w:cs="Times New Roman"/>
          <w:bCs/>
          <w:sz w:val="24"/>
          <w:szCs w:val="24"/>
          <w:u w:val="single"/>
        </w:rPr>
        <w:t xml:space="preserve"> </w:t>
      </w:r>
      <w:r>
        <w:rPr>
          <w:rFonts w:ascii="仿宋" w:hAnsi="仿宋" w:eastAsia="仿宋" w:cs="Times New Roman"/>
          <w:bCs/>
          <w:sz w:val="24"/>
          <w:szCs w:val="24"/>
          <w:u w:val="single"/>
        </w:rPr>
        <w:t xml:space="preserve"> 3 </w:t>
      </w:r>
      <w:r>
        <w:rPr>
          <w:rFonts w:ascii="仿宋" w:hAnsi="仿宋" w:eastAsia="仿宋" w:cs="Times New Roman"/>
          <w:bCs/>
          <w:sz w:val="24"/>
          <w:szCs w:val="24"/>
        </w:rPr>
        <w:t>天</w:t>
      </w:r>
    </w:p>
    <w:p>
      <w:pPr>
        <w:spacing w:line="360" w:lineRule="auto"/>
        <w:ind w:left="240" w:hanging="240" w:hangingChars="100"/>
        <w:rPr>
          <w:rFonts w:ascii="仿宋" w:hAnsi="仿宋" w:eastAsia="仿宋" w:cs="Times New Roman"/>
          <w:bCs/>
          <w:sz w:val="24"/>
          <w:szCs w:val="24"/>
        </w:rPr>
      </w:pPr>
      <w:r>
        <w:rPr>
          <w:rFonts w:ascii="仿宋" w:hAnsi="仿宋" w:eastAsia="仿宋" w:cs="Times New Roman"/>
          <w:bCs/>
          <w:sz w:val="24"/>
          <w:szCs w:val="24"/>
        </w:rPr>
        <w:t>5.项目实施以来，支援</w:t>
      </w:r>
      <w:r>
        <w:rPr>
          <w:rFonts w:hint="eastAsia" w:ascii="仿宋" w:hAnsi="仿宋" w:eastAsia="仿宋" w:cs="Times New Roman"/>
          <w:bCs/>
          <w:sz w:val="24"/>
          <w:szCs w:val="24"/>
        </w:rPr>
        <w:t>单位</w:t>
      </w:r>
      <w:r>
        <w:rPr>
          <w:rFonts w:ascii="仿宋" w:hAnsi="仿宋" w:eastAsia="仿宋" w:cs="Times New Roman"/>
          <w:bCs/>
          <w:sz w:val="24"/>
          <w:szCs w:val="24"/>
        </w:rPr>
        <w:t>组织市、区两级的</w:t>
      </w:r>
      <w:r>
        <w:rPr>
          <w:rFonts w:hint="eastAsia" w:ascii="仿宋" w:hAnsi="仿宋" w:eastAsia="仿宋" w:cs="Times New Roman"/>
          <w:bCs/>
          <w:sz w:val="24"/>
          <w:szCs w:val="24"/>
        </w:rPr>
        <w:t>线下</w:t>
      </w:r>
      <w:r>
        <w:rPr>
          <w:rFonts w:ascii="仿宋" w:hAnsi="仿宋" w:eastAsia="仿宋" w:cs="Times New Roman"/>
          <w:bCs/>
          <w:sz w:val="24"/>
          <w:szCs w:val="24"/>
        </w:rPr>
        <w:t>专家做报告或讲座、研讨等的人次_</w:t>
      </w:r>
      <w:r>
        <w:rPr>
          <w:rFonts w:ascii="仿宋" w:hAnsi="仿宋" w:eastAsia="仿宋" w:cs="Times New Roman"/>
          <w:bCs/>
          <w:sz w:val="24"/>
          <w:szCs w:val="24"/>
          <w:u w:val="single"/>
        </w:rPr>
        <w:t>__38____</w:t>
      </w:r>
      <w:r>
        <w:rPr>
          <w:rFonts w:hint="eastAsia" w:ascii="仿宋" w:hAnsi="仿宋" w:eastAsia="仿宋" w:cs="Times New Roman"/>
          <w:bCs/>
          <w:sz w:val="24"/>
          <w:szCs w:val="24"/>
        </w:rPr>
        <w:t>；线上人次</w:t>
      </w:r>
      <w:r>
        <w:rPr>
          <w:rFonts w:ascii="仿宋" w:hAnsi="仿宋" w:eastAsia="仿宋" w:cs="Times New Roman"/>
          <w:bCs/>
          <w:sz w:val="24"/>
          <w:szCs w:val="24"/>
        </w:rPr>
        <w:t>_</w:t>
      </w:r>
      <w:r>
        <w:rPr>
          <w:rFonts w:ascii="仿宋" w:hAnsi="仿宋" w:eastAsia="仿宋" w:cs="Times New Roman"/>
          <w:bCs/>
          <w:sz w:val="24"/>
          <w:szCs w:val="24"/>
          <w:u w:val="single"/>
        </w:rPr>
        <w:t>_250____</w:t>
      </w:r>
    </w:p>
    <w:p>
      <w:pPr>
        <w:spacing w:line="360" w:lineRule="auto"/>
        <w:ind w:left="240" w:hanging="240" w:hangingChars="100"/>
        <w:rPr>
          <w:rFonts w:ascii="仿宋" w:hAnsi="仿宋" w:eastAsia="仿宋" w:cs="Times New Roman"/>
          <w:bCs/>
          <w:sz w:val="24"/>
          <w:szCs w:val="24"/>
          <w:u w:val="single"/>
        </w:rPr>
      </w:pPr>
      <w:r>
        <w:rPr>
          <w:rFonts w:ascii="仿宋" w:hAnsi="仿宋" w:eastAsia="仿宋" w:cs="Times New Roman"/>
          <w:bCs/>
          <w:sz w:val="24"/>
          <w:szCs w:val="24"/>
        </w:rPr>
        <w:t>6.项目实施以来，支援</w:t>
      </w:r>
      <w:r>
        <w:rPr>
          <w:rFonts w:hint="eastAsia" w:ascii="仿宋" w:hAnsi="仿宋" w:eastAsia="仿宋" w:cs="Times New Roman"/>
          <w:bCs/>
          <w:sz w:val="24"/>
          <w:szCs w:val="24"/>
        </w:rPr>
        <w:t>单位</w:t>
      </w:r>
      <w:r>
        <w:rPr>
          <w:rFonts w:ascii="仿宋" w:hAnsi="仿宋" w:eastAsia="仿宋" w:cs="Times New Roman"/>
          <w:bCs/>
          <w:sz w:val="24"/>
          <w:szCs w:val="24"/>
        </w:rPr>
        <w:t>派出管理或教学人员前往受援学校听课、现场辅导和指导的人次</w:t>
      </w:r>
      <w:r>
        <w:rPr>
          <w:rFonts w:ascii="仿宋" w:hAnsi="仿宋" w:eastAsia="仿宋" w:cs="Times New Roman"/>
          <w:bCs/>
          <w:sz w:val="24"/>
          <w:szCs w:val="24"/>
          <w:u w:val="single"/>
        </w:rPr>
        <w:t>_180_</w:t>
      </w:r>
      <w:r>
        <w:rPr>
          <w:rFonts w:hint="eastAsia" w:ascii="仿宋" w:hAnsi="仿宋" w:eastAsia="仿宋" w:cs="Times New Roman"/>
          <w:bCs/>
          <w:sz w:val="24"/>
          <w:szCs w:val="24"/>
        </w:rPr>
        <w:t>；线上辅导和指导人次</w:t>
      </w:r>
      <w:r>
        <w:rPr>
          <w:rFonts w:hint="eastAsia" w:ascii="仿宋" w:hAnsi="仿宋" w:eastAsia="仿宋" w:cs="Times New Roman"/>
          <w:bCs/>
          <w:sz w:val="24"/>
          <w:szCs w:val="24"/>
          <w:u w:val="single"/>
        </w:rPr>
        <w:t>2</w:t>
      </w:r>
      <w:r>
        <w:rPr>
          <w:rFonts w:ascii="仿宋" w:hAnsi="仿宋" w:eastAsia="仿宋" w:cs="Times New Roman"/>
          <w:bCs/>
          <w:sz w:val="24"/>
          <w:szCs w:val="24"/>
          <w:u w:val="single"/>
        </w:rPr>
        <w:t xml:space="preserve">50   </w:t>
      </w:r>
    </w:p>
    <w:p>
      <w:pPr>
        <w:spacing w:line="360" w:lineRule="auto"/>
        <w:ind w:left="240" w:hanging="240" w:hangingChars="100"/>
        <w:rPr>
          <w:rFonts w:ascii="仿宋" w:hAnsi="仿宋" w:eastAsia="仿宋" w:cs="Times New Roman"/>
          <w:bCs/>
          <w:sz w:val="24"/>
          <w:szCs w:val="24"/>
        </w:rPr>
      </w:pPr>
      <w:r>
        <w:rPr>
          <w:rFonts w:ascii="仿宋" w:hAnsi="仿宋" w:eastAsia="仿宋" w:cs="Times New Roman"/>
          <w:bCs/>
          <w:sz w:val="24"/>
          <w:szCs w:val="24"/>
        </w:rPr>
        <w:t>7.项目实施以来，安排受援学校去支援</w:t>
      </w:r>
      <w:r>
        <w:rPr>
          <w:rFonts w:hint="eastAsia" w:ascii="仿宋" w:hAnsi="仿宋" w:eastAsia="仿宋" w:cs="Times New Roman"/>
          <w:bCs/>
          <w:sz w:val="24"/>
          <w:szCs w:val="24"/>
        </w:rPr>
        <w:t>单位或其</w:t>
      </w:r>
      <w:r>
        <w:rPr>
          <w:rFonts w:ascii="仿宋" w:hAnsi="仿宋" w:eastAsia="仿宋" w:cs="Times New Roman"/>
          <w:bCs/>
          <w:sz w:val="24"/>
          <w:szCs w:val="24"/>
        </w:rPr>
        <w:t>联系的市区学校听课、交流活动的人次</w:t>
      </w:r>
      <w:r>
        <w:rPr>
          <w:rFonts w:ascii="仿宋" w:hAnsi="仿宋" w:eastAsia="仿宋" w:cs="Times New Roman"/>
          <w:bCs/>
          <w:sz w:val="24"/>
          <w:szCs w:val="24"/>
          <w:u w:val="single"/>
        </w:rPr>
        <w:t xml:space="preserve"> __9____</w:t>
      </w:r>
      <w:r>
        <w:rPr>
          <w:rFonts w:ascii="仿宋" w:hAnsi="仿宋" w:eastAsia="仿宋" w:cs="Times New Roman"/>
          <w:bCs/>
          <w:sz w:val="24"/>
          <w:szCs w:val="24"/>
        </w:rPr>
        <w:t>__</w:t>
      </w:r>
      <w:r>
        <w:rPr>
          <w:rFonts w:hint="eastAsia" w:ascii="仿宋" w:hAnsi="仿宋" w:eastAsia="仿宋" w:cs="Times New Roman"/>
          <w:bCs/>
          <w:sz w:val="24"/>
          <w:szCs w:val="24"/>
        </w:rPr>
        <w:t>；线上交流人次</w:t>
      </w:r>
      <w:r>
        <w:rPr>
          <w:rFonts w:ascii="仿宋" w:hAnsi="仿宋" w:eastAsia="仿宋" w:cs="Times New Roman"/>
          <w:bCs/>
          <w:sz w:val="24"/>
          <w:szCs w:val="24"/>
        </w:rPr>
        <w:t>_</w:t>
      </w:r>
      <w:r>
        <w:rPr>
          <w:rFonts w:ascii="仿宋" w:hAnsi="仿宋" w:eastAsia="仿宋" w:cs="Times New Roman"/>
          <w:bCs/>
          <w:sz w:val="24"/>
          <w:szCs w:val="24"/>
          <w:u w:val="single"/>
        </w:rPr>
        <w:t>_250____</w:t>
      </w:r>
    </w:p>
    <w:p>
      <w:pPr>
        <w:spacing w:line="360" w:lineRule="auto"/>
        <w:ind w:left="240" w:hanging="240" w:hangingChars="100"/>
        <w:rPr>
          <w:rFonts w:ascii="仿宋" w:hAnsi="仿宋" w:eastAsia="仿宋" w:cs="Times New Roman"/>
          <w:bCs/>
          <w:sz w:val="24"/>
          <w:szCs w:val="24"/>
        </w:rPr>
      </w:pPr>
      <w:r>
        <w:rPr>
          <w:rFonts w:ascii="仿宋" w:hAnsi="仿宋" w:eastAsia="仿宋" w:cs="Times New Roman"/>
          <w:bCs/>
          <w:sz w:val="24"/>
          <w:szCs w:val="24"/>
        </w:rPr>
        <w:t>8.项目实施以来，受援学校人员到支援</w:t>
      </w:r>
      <w:r>
        <w:rPr>
          <w:rFonts w:hint="eastAsia" w:ascii="仿宋" w:hAnsi="仿宋" w:eastAsia="仿宋" w:cs="Times New Roman"/>
          <w:bCs/>
          <w:sz w:val="24"/>
          <w:szCs w:val="24"/>
        </w:rPr>
        <w:t>单位或其</w:t>
      </w:r>
      <w:r>
        <w:rPr>
          <w:rFonts w:ascii="仿宋" w:hAnsi="仿宋" w:eastAsia="仿宋" w:cs="Times New Roman"/>
          <w:bCs/>
          <w:sz w:val="24"/>
          <w:szCs w:val="24"/>
        </w:rPr>
        <w:t>联系的市区学校交流见习连续两周以上的人次及时间，</w:t>
      </w:r>
    </w:p>
    <w:p>
      <w:pPr>
        <w:spacing w:line="360" w:lineRule="auto"/>
        <w:ind w:left="220" w:leftChars="100"/>
        <w:rPr>
          <w:rFonts w:ascii="仿宋" w:hAnsi="仿宋" w:eastAsia="仿宋" w:cs="Times New Roman"/>
          <w:bCs/>
          <w:sz w:val="24"/>
          <w:szCs w:val="24"/>
        </w:rPr>
      </w:pPr>
      <w:r>
        <w:rPr>
          <w:rFonts w:ascii="仿宋" w:hAnsi="仿宋" w:eastAsia="仿宋" w:cs="Times New Roman"/>
          <w:bCs/>
          <w:sz w:val="24"/>
          <w:szCs w:val="24"/>
        </w:rPr>
        <w:t>其中：管理人员___0_____（人次）</w:t>
      </w:r>
      <w:r>
        <w:rPr>
          <w:rFonts w:hint="eastAsia" w:ascii="仿宋" w:hAnsi="仿宋" w:eastAsia="仿宋" w:cs="Times New Roman"/>
          <w:bCs/>
          <w:sz w:val="24"/>
          <w:szCs w:val="24"/>
        </w:rPr>
        <w:t xml:space="preserve"> </w:t>
      </w:r>
      <w:r>
        <w:rPr>
          <w:rFonts w:ascii="仿宋" w:hAnsi="仿宋" w:eastAsia="仿宋" w:cs="Times New Roman"/>
          <w:bCs/>
          <w:sz w:val="24"/>
          <w:szCs w:val="24"/>
        </w:rPr>
        <w:t>时间 _____0___（天）；教师 ____0____（人次）时间 ____0____（天）</w:t>
      </w:r>
    </w:p>
    <w:p>
      <w:pPr>
        <w:spacing w:line="360" w:lineRule="auto"/>
        <w:rPr>
          <w:rFonts w:ascii="仿宋" w:hAnsi="仿宋" w:eastAsia="仿宋" w:cs="Times New Roman"/>
          <w:bCs/>
          <w:sz w:val="24"/>
          <w:szCs w:val="24"/>
        </w:rPr>
      </w:pPr>
      <w:r>
        <w:rPr>
          <w:rFonts w:ascii="仿宋" w:hAnsi="仿宋" w:eastAsia="仿宋" w:cs="Times New Roman"/>
          <w:bCs/>
          <w:sz w:val="24"/>
          <w:szCs w:val="24"/>
        </w:rPr>
        <w:t>9.精准</w:t>
      </w:r>
      <w:r>
        <w:rPr>
          <w:rFonts w:hint="eastAsia" w:ascii="仿宋" w:hAnsi="仿宋" w:eastAsia="仿宋" w:cs="Times New Roman"/>
          <w:bCs/>
          <w:sz w:val="24"/>
          <w:szCs w:val="24"/>
        </w:rPr>
        <w:t>委托管理</w:t>
      </w:r>
      <w:r>
        <w:rPr>
          <w:rFonts w:ascii="仿宋" w:hAnsi="仿宋" w:eastAsia="仿宋" w:cs="Times New Roman"/>
          <w:bCs/>
          <w:sz w:val="24"/>
          <w:szCs w:val="24"/>
        </w:rPr>
        <w:t>专项经费拨付情况：</w:t>
      </w:r>
    </w:p>
    <w:p>
      <w:pPr>
        <w:spacing w:line="360" w:lineRule="auto"/>
        <w:ind w:firstLine="240" w:firstLineChars="100"/>
        <w:rPr>
          <w:rFonts w:ascii="仿宋" w:hAnsi="仿宋" w:eastAsia="仿宋" w:cs="Times New Roman"/>
          <w:bCs/>
          <w:sz w:val="24"/>
          <w:szCs w:val="24"/>
        </w:rPr>
      </w:pPr>
      <w:r>
        <w:rPr>
          <w:rFonts w:hint="eastAsia" w:ascii="仿宋" w:hAnsi="仿宋" w:eastAsia="仿宋" w:cs="Times New Roman"/>
          <w:bCs/>
          <w:sz w:val="24"/>
          <w:szCs w:val="24"/>
        </w:rPr>
        <w:t>是否及时拨付（</w:t>
      </w:r>
      <w:r>
        <w:rPr>
          <w:rFonts w:hint="eastAsia" w:ascii="仿宋" w:hAnsi="仿宋" w:eastAsia="仿宋" w:cs="Times New Roman"/>
          <w:bCs/>
          <w:sz w:val="24"/>
          <w:szCs w:val="24"/>
          <w:lang w:eastAsia="zh-CN"/>
        </w:rPr>
        <w:t>☑</w:t>
      </w:r>
      <w:r>
        <w:rPr>
          <w:rFonts w:hint="eastAsia" w:ascii="仿宋" w:hAnsi="仿宋" w:eastAsia="仿宋" w:cs="Times New Roman"/>
          <w:bCs/>
          <w:sz w:val="24"/>
          <w:szCs w:val="24"/>
        </w:rPr>
        <w:t>是□否）；</w:t>
      </w:r>
    </w:p>
    <w:p>
      <w:pPr>
        <w:spacing w:line="360" w:lineRule="auto"/>
        <w:ind w:firstLine="240" w:firstLineChars="100"/>
        <w:rPr>
          <w:rFonts w:ascii="仿宋" w:hAnsi="仿宋" w:eastAsia="仿宋" w:cs="Times New Roman"/>
          <w:bCs/>
          <w:sz w:val="24"/>
          <w:szCs w:val="24"/>
        </w:rPr>
      </w:pPr>
      <w:r>
        <w:rPr>
          <w:rFonts w:hint="eastAsia" w:ascii="仿宋" w:hAnsi="仿宋" w:eastAsia="仿宋" w:cs="Times New Roman"/>
          <w:bCs/>
          <w:sz w:val="24"/>
          <w:szCs w:val="24"/>
        </w:rPr>
        <w:t>是否足额拨付（</w:t>
      </w:r>
      <w:r>
        <w:rPr>
          <w:rFonts w:hint="eastAsia" w:ascii="仿宋" w:hAnsi="仿宋" w:eastAsia="仿宋" w:cs="Times New Roman"/>
          <w:bCs/>
          <w:sz w:val="24"/>
          <w:szCs w:val="24"/>
          <w:lang w:eastAsia="zh-CN"/>
        </w:rPr>
        <w:t>☑</w:t>
      </w:r>
      <w:r>
        <w:rPr>
          <w:rFonts w:hint="eastAsia" w:ascii="仿宋" w:hAnsi="仿宋" w:eastAsia="仿宋" w:cs="Times New Roman"/>
          <w:bCs/>
          <w:sz w:val="24"/>
          <w:szCs w:val="24"/>
        </w:rPr>
        <w:t>是□否）；</w:t>
      </w:r>
    </w:p>
    <w:p>
      <w:pPr>
        <w:spacing w:line="360" w:lineRule="auto"/>
        <w:ind w:firstLine="240" w:firstLineChars="100"/>
        <w:rPr>
          <w:rFonts w:ascii="仿宋" w:hAnsi="仿宋" w:eastAsia="仿宋" w:cs="Times New Roman"/>
          <w:bCs/>
          <w:sz w:val="24"/>
          <w:szCs w:val="24"/>
        </w:rPr>
      </w:pPr>
      <w:r>
        <w:rPr>
          <w:rFonts w:hint="eastAsia" w:ascii="仿宋" w:hAnsi="仿宋" w:eastAsia="仿宋" w:cs="Times New Roman"/>
          <w:bCs/>
          <w:sz w:val="24"/>
          <w:szCs w:val="24"/>
        </w:rPr>
        <w:t>是否使用顺畅（</w:t>
      </w:r>
      <w:r>
        <w:rPr>
          <w:rFonts w:hint="eastAsia" w:ascii="仿宋" w:hAnsi="仿宋" w:eastAsia="仿宋" w:cs="Times New Roman"/>
          <w:bCs/>
          <w:sz w:val="24"/>
          <w:szCs w:val="24"/>
          <w:lang w:eastAsia="zh-CN"/>
        </w:rPr>
        <w:t>☑</w:t>
      </w:r>
      <w:r>
        <w:rPr>
          <w:rFonts w:hint="eastAsia" w:ascii="仿宋" w:hAnsi="仿宋" w:eastAsia="仿宋" w:cs="Times New Roman"/>
          <w:bCs/>
          <w:sz w:val="24"/>
          <w:szCs w:val="24"/>
        </w:rPr>
        <w:t>是□否）；</w:t>
      </w:r>
    </w:p>
    <w:p>
      <w:pPr>
        <w:spacing w:line="360" w:lineRule="auto"/>
        <w:ind w:firstLine="240" w:firstLineChars="100"/>
        <w:rPr>
          <w:rFonts w:ascii="仿宋" w:hAnsi="仿宋" w:eastAsia="仿宋" w:cs="Times New Roman"/>
          <w:bCs/>
          <w:sz w:val="24"/>
          <w:szCs w:val="24"/>
        </w:rPr>
      </w:pPr>
      <w:r>
        <w:rPr>
          <w:rFonts w:hint="eastAsia" w:ascii="仿宋" w:hAnsi="仿宋" w:eastAsia="仿宋" w:cs="Times New Roman"/>
          <w:bCs/>
          <w:sz w:val="24"/>
          <w:szCs w:val="24"/>
        </w:rPr>
        <w:t xml:space="preserve">其他说明 </w:t>
      </w:r>
      <w:r>
        <w:rPr>
          <w:rFonts w:ascii="仿宋" w:hAnsi="仿宋" w:eastAsia="仿宋" w:cs="Times New Roman"/>
          <w:bCs/>
          <w:sz w:val="24"/>
          <w:szCs w:val="24"/>
        </w:rPr>
        <w:t>________________</w:t>
      </w:r>
    </w:p>
    <w:p>
      <w:pPr>
        <w:spacing w:line="360" w:lineRule="auto"/>
        <w:ind w:firstLine="240" w:firstLineChars="100"/>
        <w:rPr>
          <w:rFonts w:ascii="仿宋" w:hAnsi="仿宋" w:eastAsia="仿宋" w:cs="Times New Roman"/>
          <w:bCs/>
          <w:sz w:val="24"/>
          <w:szCs w:val="24"/>
        </w:rPr>
      </w:pPr>
      <w:r>
        <w:rPr>
          <w:rFonts w:hint="eastAsia" w:ascii="仿宋" w:hAnsi="仿宋" w:eastAsia="仿宋" w:cs="Times New Roman"/>
          <w:bCs/>
          <w:sz w:val="24"/>
          <w:szCs w:val="24"/>
        </w:rPr>
        <w:t>目前受援区教育局补充投入专项经费：</w:t>
      </w:r>
      <w:r>
        <w:rPr>
          <w:rFonts w:hint="eastAsia" w:ascii="仿宋" w:hAnsi="仿宋" w:eastAsia="仿宋" w:cs="Times New Roman"/>
          <w:bCs/>
          <w:sz w:val="24"/>
          <w:szCs w:val="24"/>
          <w:u w:val="single"/>
        </w:rPr>
        <w:t xml:space="preserve"> </w:t>
      </w:r>
      <w:r>
        <w:rPr>
          <w:rFonts w:ascii="仿宋" w:hAnsi="仿宋" w:eastAsia="仿宋" w:cs="Times New Roman"/>
          <w:bCs/>
          <w:sz w:val="24"/>
          <w:szCs w:val="24"/>
          <w:u w:val="single"/>
        </w:rPr>
        <w:t xml:space="preserve"> </w:t>
      </w:r>
      <w:r>
        <w:rPr>
          <w:rFonts w:hint="eastAsia" w:ascii="仿宋" w:hAnsi="仿宋" w:eastAsia="仿宋" w:cs="Times New Roman"/>
          <w:bCs/>
          <w:sz w:val="24"/>
          <w:szCs w:val="24"/>
          <w:u w:val="single"/>
          <w:lang w:val="en-US" w:eastAsia="zh-CN"/>
        </w:rPr>
        <w:t>25</w:t>
      </w:r>
      <w:r>
        <w:rPr>
          <w:rFonts w:ascii="仿宋" w:hAnsi="仿宋" w:eastAsia="仿宋" w:cs="Times New Roman"/>
          <w:bCs/>
          <w:sz w:val="24"/>
          <w:szCs w:val="24"/>
          <w:u w:val="single"/>
        </w:rPr>
        <w:t xml:space="preserve">  </w:t>
      </w:r>
      <w:r>
        <w:rPr>
          <w:rFonts w:hint="eastAsia" w:ascii="仿宋" w:hAnsi="仿宋" w:eastAsia="仿宋" w:cs="Times New Roman"/>
          <w:bCs/>
          <w:sz w:val="24"/>
          <w:szCs w:val="24"/>
        </w:rPr>
        <w:t>（万元）；</w:t>
      </w:r>
    </w:p>
    <w:p>
      <w:pPr>
        <w:spacing w:line="360" w:lineRule="auto"/>
        <w:ind w:firstLine="240" w:firstLineChars="100"/>
        <w:rPr>
          <w:rFonts w:ascii="仿宋" w:hAnsi="仿宋" w:eastAsia="仿宋" w:cs="Times New Roman"/>
          <w:bCs/>
          <w:sz w:val="24"/>
          <w:szCs w:val="24"/>
        </w:rPr>
      </w:pPr>
      <w:r>
        <w:rPr>
          <w:rFonts w:hint="eastAsia" w:ascii="仿宋" w:hAnsi="仿宋" w:eastAsia="仿宋" w:cs="Times New Roman"/>
          <w:bCs/>
          <w:sz w:val="24"/>
          <w:szCs w:val="24"/>
        </w:rPr>
        <w:t>支援区教育局补充投入专项经费：</w:t>
      </w:r>
      <w:r>
        <w:rPr>
          <w:rFonts w:hint="eastAsia" w:ascii="仿宋" w:hAnsi="仿宋" w:eastAsia="仿宋" w:cs="Times New Roman"/>
          <w:bCs/>
          <w:sz w:val="24"/>
          <w:szCs w:val="24"/>
          <w:u w:val="single"/>
        </w:rPr>
        <w:t xml:space="preserve"> </w:t>
      </w:r>
      <w:r>
        <w:rPr>
          <w:rFonts w:ascii="仿宋" w:hAnsi="仿宋" w:eastAsia="仿宋" w:cs="Times New Roman"/>
          <w:bCs/>
          <w:sz w:val="24"/>
          <w:szCs w:val="24"/>
          <w:u w:val="single"/>
        </w:rPr>
        <w:t xml:space="preserve">   </w:t>
      </w:r>
      <w:r>
        <w:rPr>
          <w:rFonts w:hint="eastAsia" w:ascii="仿宋" w:hAnsi="仿宋" w:eastAsia="仿宋" w:cs="Times New Roman"/>
          <w:bCs/>
          <w:sz w:val="24"/>
          <w:szCs w:val="24"/>
        </w:rPr>
        <w:t>（万元）</w:t>
      </w:r>
    </w:p>
    <w:p>
      <w:pPr>
        <w:spacing w:line="360" w:lineRule="auto"/>
        <w:rPr>
          <w:rFonts w:ascii="仿宋" w:hAnsi="仿宋" w:eastAsia="仿宋" w:cs="Times New Roman"/>
          <w:bCs/>
          <w:sz w:val="24"/>
          <w:szCs w:val="24"/>
        </w:rPr>
      </w:pPr>
    </w:p>
    <w:p>
      <w:pPr>
        <w:spacing w:line="360" w:lineRule="auto"/>
        <w:ind w:firstLine="480" w:firstLineChars="200"/>
        <w:rPr>
          <w:rFonts w:ascii="仿宋" w:hAnsi="仿宋" w:eastAsia="仿宋" w:cs="Times New Roman"/>
          <w:bCs/>
          <w:sz w:val="24"/>
          <w:szCs w:val="24"/>
        </w:rPr>
      </w:pPr>
      <w:r>
        <w:rPr>
          <w:rFonts w:hint="eastAsia" w:ascii="仿宋" w:hAnsi="仿宋" w:eastAsia="仿宋" w:cs="Times New Roman"/>
          <w:bCs/>
          <w:sz w:val="24"/>
          <w:szCs w:val="24"/>
        </w:rPr>
        <w:t>如果精准托管的支援方是机构，精准托管专项经费是拨付给：</w:t>
      </w:r>
    </w:p>
    <w:p>
      <w:pPr>
        <w:spacing w:line="360" w:lineRule="auto"/>
        <w:ind w:firstLine="480" w:firstLineChars="200"/>
        <w:rPr>
          <w:rFonts w:ascii="仿宋" w:hAnsi="仿宋" w:eastAsia="仿宋" w:cs="Times New Roman"/>
          <w:bCs/>
          <w:sz w:val="24"/>
          <w:szCs w:val="24"/>
        </w:rPr>
      </w:pPr>
      <w:r>
        <w:rPr>
          <w:rFonts w:hint="eastAsia" w:ascii="仿宋" w:hAnsi="仿宋" w:eastAsia="仿宋" w:cs="Times New Roman"/>
          <w:bCs/>
          <w:sz w:val="24"/>
          <w:szCs w:val="24"/>
        </w:rPr>
        <w:t>①机构（是否经过招投标□是□否）</w:t>
      </w:r>
    </w:p>
    <w:p>
      <w:pPr>
        <w:spacing w:line="360" w:lineRule="auto"/>
        <w:ind w:firstLine="480" w:firstLineChars="200"/>
        <w:rPr>
          <w:rFonts w:ascii="仿宋" w:hAnsi="仿宋" w:eastAsia="仿宋" w:cs="Times New Roman"/>
          <w:bCs/>
          <w:sz w:val="24"/>
          <w:szCs w:val="24"/>
        </w:rPr>
      </w:pPr>
      <w:r>
        <w:rPr>
          <w:rFonts w:hint="eastAsia" w:ascii="仿宋" w:hAnsi="仿宋" w:eastAsia="仿宋" w:cs="Times New Roman"/>
          <w:bCs/>
          <w:sz w:val="24"/>
          <w:szCs w:val="24"/>
        </w:rPr>
        <w:t>②直接拨付给受援校，并在受援校支出使用</w:t>
      </w:r>
    </w:p>
    <w:p>
      <w:pPr>
        <w:spacing w:line="360" w:lineRule="auto"/>
        <w:ind w:firstLine="480" w:firstLineChars="200"/>
        <w:rPr>
          <w:rFonts w:ascii="仿宋" w:hAnsi="仿宋" w:eastAsia="仿宋" w:cs="Times New Roman"/>
          <w:bCs/>
          <w:sz w:val="24"/>
          <w:szCs w:val="24"/>
        </w:rPr>
      </w:pPr>
      <w:r>
        <w:rPr>
          <w:rFonts w:ascii="仿宋" w:hAnsi="仿宋" w:eastAsia="仿宋" w:cs="Times New Roman"/>
          <w:bCs/>
          <w:sz w:val="24"/>
          <w:szCs w:val="24"/>
        </w:rPr>
        <w:t>③先拨付给受援校，后全额转给机构</w:t>
      </w:r>
      <w:r>
        <w:rPr>
          <w:rFonts w:hint="default" w:ascii="Arial" w:hAnsi="Arial" w:eastAsia="仿宋" w:cs="Arial"/>
          <w:bCs/>
          <w:sz w:val="24"/>
          <w:szCs w:val="24"/>
        </w:rPr>
        <w:t>√</w:t>
      </w:r>
      <w:r>
        <w:rPr>
          <w:rFonts w:ascii="仿宋" w:hAnsi="仿宋" w:eastAsia="仿宋" w:cs="Times New Roman"/>
          <w:bCs/>
          <w:sz w:val="24"/>
          <w:szCs w:val="24"/>
        </w:rPr>
        <w:t xml:space="preserve">  </w:t>
      </w:r>
    </w:p>
    <w:p>
      <w:pPr>
        <w:spacing w:line="360" w:lineRule="auto"/>
        <w:ind w:firstLine="480" w:firstLineChars="200"/>
        <w:rPr>
          <w:rFonts w:ascii="仿宋" w:hAnsi="仿宋" w:eastAsia="仿宋" w:cs="Times New Roman"/>
          <w:bCs/>
          <w:sz w:val="24"/>
          <w:szCs w:val="24"/>
        </w:rPr>
      </w:pPr>
      <w:r>
        <w:rPr>
          <w:rFonts w:ascii="仿宋" w:hAnsi="仿宋" w:eastAsia="仿宋" w:cs="Times New Roman"/>
          <w:bCs/>
          <w:sz w:val="24"/>
          <w:szCs w:val="24"/>
        </w:rPr>
        <w:t>④其他</w:t>
      </w:r>
      <w:r>
        <w:rPr>
          <w:rFonts w:hint="eastAsia" w:ascii="仿宋" w:hAnsi="仿宋" w:eastAsia="仿宋" w:cs="Times New Roman"/>
          <w:bCs/>
          <w:sz w:val="24"/>
          <w:szCs w:val="24"/>
        </w:rPr>
        <w:t xml:space="preserve"> </w:t>
      </w:r>
      <w:r>
        <w:rPr>
          <w:rFonts w:hint="eastAsia" w:ascii="仿宋" w:hAnsi="仿宋" w:eastAsia="仿宋" w:cs="Times New Roman"/>
          <w:bCs/>
          <w:sz w:val="24"/>
          <w:szCs w:val="24"/>
          <w:u w:val="single"/>
        </w:rPr>
        <w:t xml:space="preserve"> </w:t>
      </w:r>
      <w:r>
        <w:rPr>
          <w:rFonts w:ascii="仿宋" w:hAnsi="仿宋" w:eastAsia="仿宋" w:cs="Times New Roman"/>
          <w:bCs/>
          <w:sz w:val="24"/>
          <w:szCs w:val="24"/>
          <w:u w:val="single"/>
        </w:rPr>
        <w:t xml:space="preserve">      </w:t>
      </w:r>
      <w:r>
        <w:rPr>
          <w:rFonts w:ascii="仿宋" w:hAnsi="仿宋" w:eastAsia="仿宋" w:cs="Times New Roman"/>
          <w:bCs/>
          <w:sz w:val="24"/>
          <w:szCs w:val="24"/>
        </w:rPr>
        <w:t>（请填写）</w:t>
      </w:r>
    </w:p>
    <w:p>
      <w:pPr>
        <w:spacing w:line="360" w:lineRule="auto"/>
        <w:ind w:firstLine="480" w:firstLineChars="200"/>
        <w:rPr>
          <w:rFonts w:ascii="仿宋" w:hAnsi="仿宋" w:eastAsia="仿宋" w:cs="Times New Roman"/>
          <w:bCs/>
          <w:sz w:val="24"/>
          <w:szCs w:val="24"/>
        </w:rPr>
      </w:pPr>
      <w:r>
        <w:rPr>
          <w:rFonts w:hint="eastAsia" w:ascii="仿宋" w:hAnsi="仿宋" w:eastAsia="仿宋" w:cs="Times New Roman"/>
          <w:bCs/>
          <w:sz w:val="24"/>
          <w:szCs w:val="24"/>
        </w:rPr>
        <w:t>如果精准托管的支援方是机构，精准托管专项经费的支付使用：</w:t>
      </w:r>
    </w:p>
    <w:p>
      <w:pPr>
        <w:spacing w:line="360" w:lineRule="auto"/>
        <w:ind w:firstLine="480" w:firstLineChars="200"/>
        <w:rPr>
          <w:rFonts w:ascii="仿宋" w:hAnsi="仿宋" w:eastAsia="仿宋" w:cs="Times New Roman"/>
          <w:bCs/>
          <w:sz w:val="24"/>
          <w:szCs w:val="24"/>
        </w:rPr>
      </w:pPr>
      <w:r>
        <w:rPr>
          <w:rFonts w:hint="eastAsia" w:ascii="仿宋" w:hAnsi="仿宋" w:eastAsia="仿宋" w:cs="Times New Roman"/>
          <w:bCs/>
          <w:sz w:val="24"/>
          <w:szCs w:val="24"/>
        </w:rPr>
        <w:t>①仅由机构单方签字后支付使用</w:t>
      </w:r>
      <w:r>
        <w:rPr>
          <w:rFonts w:hint="default" w:ascii="Arial" w:hAnsi="Arial" w:eastAsia="仿宋" w:cs="Arial"/>
          <w:bCs/>
          <w:sz w:val="24"/>
          <w:szCs w:val="24"/>
        </w:rPr>
        <w:t>√</w:t>
      </w:r>
    </w:p>
    <w:p>
      <w:pPr>
        <w:spacing w:line="360" w:lineRule="auto"/>
        <w:ind w:firstLine="480" w:firstLineChars="200"/>
        <w:rPr>
          <w:rFonts w:ascii="仿宋" w:hAnsi="仿宋" w:eastAsia="仿宋" w:cs="Times New Roman"/>
          <w:bCs/>
          <w:sz w:val="24"/>
          <w:szCs w:val="24"/>
        </w:rPr>
      </w:pPr>
      <w:r>
        <w:rPr>
          <w:rFonts w:hint="eastAsia" w:ascii="仿宋" w:hAnsi="仿宋" w:eastAsia="仿宋" w:cs="Times New Roman"/>
          <w:bCs/>
          <w:sz w:val="24"/>
          <w:szCs w:val="24"/>
        </w:rPr>
        <w:t>②仅由受援校单方签字后支付使用</w:t>
      </w:r>
      <w:bookmarkStart w:id="3" w:name="_GoBack"/>
      <w:bookmarkEnd w:id="3"/>
    </w:p>
    <w:p>
      <w:pPr>
        <w:spacing w:line="360" w:lineRule="auto"/>
        <w:ind w:firstLine="480" w:firstLineChars="200"/>
        <w:rPr>
          <w:rFonts w:ascii="仿宋" w:hAnsi="仿宋" w:eastAsia="仿宋" w:cs="Times New Roman"/>
          <w:bCs/>
          <w:sz w:val="24"/>
          <w:szCs w:val="24"/>
        </w:rPr>
      </w:pPr>
      <w:r>
        <w:rPr>
          <w:rFonts w:hint="eastAsia" w:ascii="仿宋" w:hAnsi="仿宋" w:eastAsia="仿宋" w:cs="Times New Roman"/>
          <w:bCs/>
          <w:sz w:val="24"/>
          <w:szCs w:val="24"/>
        </w:rPr>
        <w:t>③由双方签字后支付使用</w:t>
      </w:r>
    </w:p>
    <w:p>
      <w:pPr>
        <w:spacing w:line="360" w:lineRule="auto"/>
        <w:ind w:firstLine="480" w:firstLineChars="200"/>
        <w:rPr>
          <w:rFonts w:ascii="仿宋" w:hAnsi="仿宋" w:eastAsia="仿宋" w:cs="Times New Roman"/>
          <w:bCs/>
          <w:sz w:val="24"/>
          <w:szCs w:val="24"/>
        </w:rPr>
      </w:pPr>
      <w:r>
        <w:rPr>
          <w:rFonts w:hint="eastAsia" w:ascii="仿宋" w:hAnsi="仿宋" w:eastAsia="仿宋" w:cs="Times New Roman"/>
          <w:bCs/>
          <w:sz w:val="24"/>
          <w:szCs w:val="24"/>
        </w:rPr>
        <w:t xml:space="preserve">④其他 </w:t>
      </w:r>
      <w:r>
        <w:rPr>
          <w:rFonts w:hint="eastAsia" w:ascii="仿宋" w:hAnsi="仿宋" w:eastAsia="仿宋" w:cs="Times New Roman"/>
          <w:bCs/>
          <w:sz w:val="24"/>
          <w:szCs w:val="24"/>
          <w:u w:val="single"/>
        </w:rPr>
        <w:t xml:space="preserve"> </w:t>
      </w:r>
      <w:r>
        <w:rPr>
          <w:rFonts w:ascii="仿宋" w:hAnsi="仿宋" w:eastAsia="仿宋" w:cs="Times New Roman"/>
          <w:bCs/>
          <w:sz w:val="24"/>
          <w:szCs w:val="24"/>
          <w:u w:val="single"/>
        </w:rPr>
        <w:t xml:space="preserve">      </w:t>
      </w:r>
      <w:r>
        <w:rPr>
          <w:rFonts w:ascii="仿宋" w:hAnsi="仿宋" w:eastAsia="仿宋" w:cs="Times New Roman"/>
          <w:bCs/>
          <w:sz w:val="24"/>
          <w:szCs w:val="24"/>
        </w:rPr>
        <w:t>（请填写）</w:t>
      </w:r>
    </w:p>
    <w:p>
      <w:pPr>
        <w:snapToGrid w:val="0"/>
        <w:spacing w:before="156" w:beforeLines="50" w:after="156" w:afterLines="50" w:line="360" w:lineRule="auto"/>
        <w:rPr>
          <w:rFonts w:hint="eastAsia" w:ascii="仿宋" w:hAnsi="仿宋" w:eastAsia="仿宋"/>
          <w:sz w:val="28"/>
          <w:szCs w:val="28"/>
        </w:rPr>
        <w:sectPr>
          <w:pgSz w:w="16838" w:h="11906" w:orient="landscape"/>
          <w:pgMar w:top="1134" w:right="1440" w:bottom="426" w:left="1440" w:header="720" w:footer="720" w:gutter="0"/>
          <w:cols w:space="720" w:num="1"/>
        </w:sectPr>
      </w:pPr>
    </w:p>
    <w:p>
      <w:pPr>
        <w:snapToGrid w:val="0"/>
        <w:spacing w:before="156" w:beforeLines="50" w:after="156" w:afterLines="50" w:line="360" w:lineRule="auto"/>
        <w:rPr>
          <w:rFonts w:ascii="仿宋" w:hAnsi="仿宋" w:eastAsia="仿宋"/>
          <w:sz w:val="28"/>
          <w:szCs w:val="28"/>
        </w:rPr>
      </w:pPr>
      <w:r>
        <w:rPr>
          <w:rFonts w:hint="eastAsia" w:ascii="仿宋" w:hAnsi="仿宋" w:eastAsia="仿宋"/>
          <w:sz w:val="28"/>
          <w:szCs w:val="28"/>
        </w:rPr>
        <w:t>附件3</w:t>
      </w:r>
    </w:p>
    <w:p>
      <w:pPr>
        <w:snapToGrid w:val="0"/>
        <w:spacing w:before="156" w:beforeLines="50" w:line="360" w:lineRule="auto"/>
        <w:jc w:val="center"/>
        <w:rPr>
          <w:rFonts w:ascii="黑体" w:hAnsi="黑体" w:eastAsia="黑体"/>
          <w:b/>
          <w:bCs/>
          <w:sz w:val="30"/>
          <w:szCs w:val="30"/>
        </w:rPr>
      </w:pPr>
      <w:r>
        <w:rPr>
          <w:rFonts w:hint="eastAsia" w:ascii="黑体" w:hAnsi="黑体" w:eastAsia="黑体"/>
          <w:b/>
          <w:bCs/>
          <w:sz w:val="30"/>
          <w:szCs w:val="30"/>
        </w:rPr>
        <w:t>上海市第二轮郊区学校精准委托管理绩效评估</w:t>
      </w:r>
    </w:p>
    <w:p>
      <w:pPr>
        <w:snapToGrid w:val="0"/>
        <w:spacing w:after="156" w:afterLines="50" w:line="360" w:lineRule="auto"/>
        <w:jc w:val="center"/>
        <w:rPr>
          <w:rFonts w:ascii="黑体" w:hAnsi="黑体" w:eastAsia="黑体"/>
          <w:b/>
          <w:bCs/>
          <w:sz w:val="30"/>
          <w:szCs w:val="30"/>
        </w:rPr>
      </w:pPr>
      <w:r>
        <w:rPr>
          <w:rFonts w:hint="eastAsia" w:ascii="黑体" w:hAnsi="黑体" w:eastAsia="黑体"/>
          <w:b/>
          <w:bCs/>
          <w:sz w:val="30"/>
          <w:szCs w:val="30"/>
        </w:rPr>
        <w:t>系统材料上传目录清单</w:t>
      </w:r>
    </w:p>
    <w:tbl>
      <w:tblPr>
        <w:tblStyle w:val="14"/>
        <w:tblW w:w="100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55"/>
        <w:gridCol w:w="8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1555" w:type="dxa"/>
            <w:vAlign w:val="center"/>
          </w:tcPr>
          <w:p>
            <w:pPr>
              <w:spacing w:line="360" w:lineRule="auto"/>
              <w:jc w:val="center"/>
              <w:rPr>
                <w:rFonts w:ascii="仿宋" w:hAnsi="仿宋" w:eastAsia="仿宋"/>
                <w:b/>
                <w:bCs/>
                <w:szCs w:val="21"/>
              </w:rPr>
            </w:pPr>
            <w:r>
              <w:rPr>
                <w:rFonts w:hint="eastAsia" w:ascii="仿宋" w:hAnsi="仿宋" w:eastAsia="仿宋"/>
                <w:b/>
                <w:bCs/>
                <w:szCs w:val="21"/>
              </w:rPr>
              <w:t>一级目录</w:t>
            </w:r>
          </w:p>
        </w:tc>
        <w:tc>
          <w:tcPr>
            <w:tcW w:w="8495" w:type="dxa"/>
            <w:vAlign w:val="center"/>
          </w:tcPr>
          <w:p>
            <w:pPr>
              <w:spacing w:line="360" w:lineRule="auto"/>
              <w:jc w:val="center"/>
              <w:rPr>
                <w:rFonts w:ascii="仿宋" w:hAnsi="仿宋" w:eastAsia="仿宋"/>
                <w:b/>
                <w:bCs/>
                <w:szCs w:val="21"/>
              </w:rPr>
            </w:pPr>
            <w:r>
              <w:rPr>
                <w:rFonts w:hint="eastAsia" w:ascii="仿宋" w:hAnsi="仿宋" w:eastAsia="仿宋"/>
                <w:b/>
                <w:bCs/>
                <w:szCs w:val="21"/>
              </w:rPr>
              <w:t>上传材料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55" w:type="dxa"/>
            <w:vMerge w:val="restart"/>
            <w:vAlign w:val="center"/>
          </w:tcPr>
          <w:p>
            <w:pPr>
              <w:spacing w:line="360" w:lineRule="auto"/>
              <w:jc w:val="center"/>
              <w:rPr>
                <w:rFonts w:ascii="仿宋" w:hAnsi="仿宋" w:eastAsia="仿宋"/>
                <w:b/>
                <w:bCs/>
                <w:szCs w:val="21"/>
              </w:rPr>
            </w:pPr>
            <w:r>
              <w:rPr>
                <w:rFonts w:hint="eastAsia" w:ascii="仿宋" w:hAnsi="仿宋" w:eastAsia="仿宋"/>
                <w:b/>
                <w:bCs/>
                <w:szCs w:val="21"/>
              </w:rPr>
              <w:t>自评材料</w:t>
            </w:r>
          </w:p>
        </w:tc>
        <w:tc>
          <w:tcPr>
            <w:tcW w:w="8495" w:type="dxa"/>
            <w:vAlign w:val="center"/>
          </w:tcPr>
          <w:p>
            <w:pPr>
              <w:spacing w:line="360" w:lineRule="auto"/>
              <w:rPr>
                <w:rFonts w:ascii="仿宋" w:hAnsi="仿宋" w:eastAsia="仿宋"/>
                <w:b/>
                <w:bCs/>
                <w:szCs w:val="21"/>
              </w:rPr>
            </w:pPr>
            <w:r>
              <w:rPr>
                <w:rFonts w:hint="eastAsia" w:ascii="仿宋" w:hAnsi="仿宋" w:eastAsia="仿宋"/>
                <w:b/>
                <w:bCs/>
                <w:szCs w:val="21"/>
              </w:rPr>
              <w:t>自评分表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555" w:type="dxa"/>
            <w:vMerge w:val="continue"/>
            <w:vAlign w:val="center"/>
          </w:tcPr>
          <w:p>
            <w:pPr>
              <w:spacing w:line="360" w:lineRule="auto"/>
              <w:jc w:val="center"/>
              <w:rPr>
                <w:rFonts w:ascii="仿宋" w:hAnsi="仿宋" w:eastAsia="仿宋"/>
                <w:b/>
                <w:bCs/>
                <w:szCs w:val="21"/>
              </w:rPr>
            </w:pPr>
          </w:p>
        </w:tc>
        <w:tc>
          <w:tcPr>
            <w:tcW w:w="8495" w:type="dxa"/>
            <w:vAlign w:val="center"/>
          </w:tcPr>
          <w:p>
            <w:pPr>
              <w:spacing w:line="360" w:lineRule="auto"/>
              <w:rPr>
                <w:rFonts w:ascii="仿宋" w:hAnsi="仿宋" w:eastAsia="仿宋"/>
                <w:b/>
                <w:bCs/>
                <w:szCs w:val="21"/>
              </w:rPr>
            </w:pPr>
            <w:r>
              <w:rPr>
                <w:rFonts w:hint="eastAsia" w:ascii="仿宋" w:hAnsi="仿宋" w:eastAsia="仿宋"/>
                <w:b/>
                <w:bCs/>
                <w:szCs w:val="21"/>
              </w:rPr>
              <w:t>自评报告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4" w:hRule="atLeast"/>
          <w:jc w:val="center"/>
        </w:trPr>
        <w:tc>
          <w:tcPr>
            <w:tcW w:w="1555" w:type="dxa"/>
            <w:vAlign w:val="center"/>
          </w:tcPr>
          <w:p>
            <w:pPr>
              <w:spacing w:line="360" w:lineRule="auto"/>
              <w:jc w:val="center"/>
              <w:rPr>
                <w:rFonts w:ascii="仿宋" w:hAnsi="仿宋" w:eastAsia="仿宋"/>
                <w:b/>
                <w:bCs/>
                <w:szCs w:val="21"/>
              </w:rPr>
            </w:pPr>
            <w:r>
              <w:rPr>
                <w:rFonts w:hint="eastAsia" w:ascii="仿宋" w:hAnsi="仿宋" w:eastAsia="仿宋"/>
                <w:b/>
                <w:bCs/>
                <w:szCs w:val="21"/>
              </w:rPr>
              <w:t>A</w:t>
            </w:r>
            <w:r>
              <w:rPr>
                <w:rFonts w:ascii="仿宋" w:hAnsi="仿宋" w:eastAsia="仿宋"/>
                <w:b/>
                <w:bCs/>
                <w:szCs w:val="21"/>
              </w:rPr>
              <w:t>1</w:t>
            </w:r>
            <w:r>
              <w:rPr>
                <w:rFonts w:hint="eastAsia" w:ascii="仿宋" w:hAnsi="仿宋" w:eastAsia="仿宋"/>
                <w:b/>
                <w:bCs/>
                <w:szCs w:val="21"/>
              </w:rPr>
              <w:t>规范管理</w:t>
            </w:r>
          </w:p>
        </w:tc>
        <w:tc>
          <w:tcPr>
            <w:tcW w:w="8495" w:type="dxa"/>
            <w:vAlign w:val="center"/>
          </w:tcPr>
          <w:p>
            <w:pPr>
              <w:pStyle w:val="19"/>
              <w:numPr>
                <w:ilvl w:val="0"/>
                <w:numId w:val="3"/>
              </w:numPr>
              <w:spacing w:line="360" w:lineRule="auto"/>
              <w:ind w:firstLineChars="0"/>
              <w:rPr>
                <w:rFonts w:ascii="仿宋" w:hAnsi="仿宋" w:eastAsia="仿宋" w:cs="Times New Roman"/>
                <w:szCs w:val="21"/>
              </w:rPr>
            </w:pPr>
            <w:r>
              <w:rPr>
                <w:rFonts w:hint="eastAsia" w:ascii="仿宋" w:hAnsi="仿宋" w:eastAsia="仿宋" w:cs="Times New Roman"/>
                <w:szCs w:val="21"/>
              </w:rPr>
              <w:t>托管协议</w:t>
            </w:r>
          </w:p>
          <w:p>
            <w:pPr>
              <w:pStyle w:val="19"/>
              <w:numPr>
                <w:ilvl w:val="0"/>
                <w:numId w:val="3"/>
              </w:numPr>
              <w:spacing w:line="360" w:lineRule="auto"/>
              <w:ind w:firstLineChars="0"/>
              <w:rPr>
                <w:rFonts w:ascii="仿宋" w:hAnsi="仿宋" w:eastAsia="仿宋" w:cs="Times New Roman"/>
                <w:szCs w:val="21"/>
              </w:rPr>
            </w:pPr>
            <w:r>
              <w:rPr>
                <w:rFonts w:hint="eastAsia" w:ascii="仿宋" w:hAnsi="仿宋" w:eastAsia="仿宋" w:cs="Times New Roman"/>
                <w:szCs w:val="21"/>
              </w:rPr>
              <w:t>托管方案（签字确认版）</w:t>
            </w:r>
          </w:p>
          <w:p>
            <w:pPr>
              <w:pStyle w:val="19"/>
              <w:numPr>
                <w:ilvl w:val="0"/>
                <w:numId w:val="3"/>
              </w:numPr>
              <w:spacing w:line="360" w:lineRule="auto"/>
              <w:ind w:firstLineChars="0"/>
              <w:rPr>
                <w:rFonts w:ascii="仿宋" w:hAnsi="仿宋" w:eastAsia="仿宋" w:cs="Times New Roman"/>
                <w:szCs w:val="21"/>
              </w:rPr>
            </w:pPr>
            <w:r>
              <w:rPr>
                <w:rFonts w:hint="eastAsia" w:ascii="仿宋" w:hAnsi="仿宋" w:eastAsia="仿宋" w:cs="Times New Roman"/>
                <w:szCs w:val="21"/>
              </w:rPr>
              <w:t>托管团队工作计划和总结</w:t>
            </w:r>
          </w:p>
          <w:p>
            <w:pPr>
              <w:pStyle w:val="19"/>
              <w:numPr>
                <w:ilvl w:val="0"/>
                <w:numId w:val="3"/>
              </w:numPr>
              <w:spacing w:line="360" w:lineRule="auto"/>
              <w:ind w:firstLineChars="0"/>
              <w:rPr>
                <w:rFonts w:ascii="仿宋" w:hAnsi="仿宋" w:eastAsia="仿宋" w:cs="Times New Roman"/>
                <w:szCs w:val="21"/>
              </w:rPr>
            </w:pPr>
            <w:r>
              <w:rPr>
                <w:rFonts w:hint="eastAsia" w:ascii="仿宋" w:hAnsi="仿宋" w:eastAsia="仿宋" w:cs="Times New Roman"/>
                <w:szCs w:val="21"/>
              </w:rPr>
              <w:t>常驻团队人员信息</w:t>
            </w:r>
          </w:p>
          <w:p>
            <w:pPr>
              <w:pStyle w:val="19"/>
              <w:numPr>
                <w:ilvl w:val="0"/>
                <w:numId w:val="3"/>
              </w:numPr>
              <w:spacing w:line="360" w:lineRule="auto"/>
              <w:ind w:firstLineChars="0"/>
              <w:rPr>
                <w:rFonts w:ascii="仿宋" w:hAnsi="仿宋" w:eastAsia="仿宋" w:cs="Times New Roman"/>
                <w:szCs w:val="21"/>
              </w:rPr>
            </w:pPr>
            <w:r>
              <w:rPr>
                <w:rFonts w:hint="eastAsia" w:ascii="仿宋" w:hAnsi="仿宋" w:eastAsia="仿宋" w:cs="Times New Roman"/>
                <w:szCs w:val="21"/>
              </w:rPr>
              <w:t>托管目标达成度自评表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0" w:hRule="atLeast"/>
          <w:jc w:val="center"/>
        </w:trPr>
        <w:tc>
          <w:tcPr>
            <w:tcW w:w="1555" w:type="dxa"/>
            <w:vAlign w:val="center"/>
          </w:tcPr>
          <w:p>
            <w:pPr>
              <w:spacing w:line="360" w:lineRule="auto"/>
              <w:jc w:val="center"/>
              <w:rPr>
                <w:rFonts w:ascii="仿宋" w:hAnsi="仿宋" w:eastAsia="仿宋"/>
                <w:b/>
                <w:bCs/>
                <w:szCs w:val="21"/>
              </w:rPr>
            </w:pPr>
            <w:r>
              <w:rPr>
                <w:rFonts w:hint="eastAsia" w:ascii="仿宋" w:hAnsi="仿宋" w:eastAsia="仿宋"/>
                <w:b/>
                <w:bCs/>
                <w:szCs w:val="21"/>
              </w:rPr>
              <w:t>A</w:t>
            </w:r>
            <w:r>
              <w:rPr>
                <w:rFonts w:ascii="仿宋" w:hAnsi="仿宋" w:eastAsia="仿宋"/>
                <w:b/>
                <w:bCs/>
                <w:szCs w:val="21"/>
              </w:rPr>
              <w:t>2</w:t>
            </w:r>
            <w:r>
              <w:rPr>
                <w:rFonts w:hint="eastAsia" w:ascii="仿宋" w:hAnsi="仿宋" w:eastAsia="仿宋"/>
                <w:b/>
                <w:bCs/>
                <w:szCs w:val="21"/>
              </w:rPr>
              <w:t>教育质量</w:t>
            </w:r>
          </w:p>
        </w:tc>
        <w:tc>
          <w:tcPr>
            <w:tcW w:w="8495" w:type="dxa"/>
            <w:vAlign w:val="center"/>
          </w:tcPr>
          <w:p>
            <w:pPr>
              <w:pStyle w:val="19"/>
              <w:numPr>
                <w:ilvl w:val="0"/>
                <w:numId w:val="4"/>
              </w:numPr>
              <w:spacing w:line="360" w:lineRule="auto"/>
              <w:ind w:firstLineChars="0"/>
              <w:rPr>
                <w:rFonts w:ascii="仿宋" w:hAnsi="仿宋" w:eastAsia="仿宋" w:cs="Times New Roman"/>
                <w:szCs w:val="21"/>
              </w:rPr>
            </w:pPr>
            <w:r>
              <w:rPr>
                <w:rFonts w:hint="eastAsia" w:ascii="仿宋" w:hAnsi="仿宋" w:eastAsia="仿宋" w:cs="Times New Roman"/>
                <w:szCs w:val="21"/>
              </w:rPr>
              <w:t>区域教育质量监测或相关考核数据（初中可参阅</w:t>
            </w:r>
            <w:r>
              <w:rPr>
                <w:rFonts w:ascii="仿宋" w:hAnsi="仿宋" w:eastAsia="仿宋" w:cs="Times New Roman"/>
                <w:szCs w:val="21"/>
              </w:rPr>
              <w:t>2018、2021年学校绿色指标评价报告及学校近两年的学业质量分析情况；小学可参阅2019、2022年的绿色指标评价报告</w:t>
            </w:r>
            <w:r>
              <w:rPr>
                <w:rFonts w:hint="eastAsia" w:ascii="仿宋" w:hAnsi="仿宋" w:eastAsia="仿宋" w:cs="Times New Roman"/>
                <w:szCs w:val="21"/>
              </w:rPr>
              <w:t>等）</w:t>
            </w:r>
          </w:p>
          <w:p>
            <w:pPr>
              <w:pStyle w:val="19"/>
              <w:numPr>
                <w:ilvl w:val="0"/>
                <w:numId w:val="4"/>
              </w:numPr>
              <w:spacing w:line="360" w:lineRule="auto"/>
              <w:ind w:firstLineChars="0"/>
              <w:rPr>
                <w:rFonts w:ascii="仿宋" w:hAnsi="仿宋" w:eastAsia="仿宋"/>
                <w:szCs w:val="21"/>
              </w:rPr>
            </w:pPr>
            <w:r>
              <w:rPr>
                <w:rFonts w:hint="eastAsia" w:ascii="仿宋" w:hAnsi="仿宋" w:eastAsia="仿宋" w:cs="Times New Roman"/>
                <w:szCs w:val="21"/>
              </w:rPr>
              <w:t>学校学生学籍信息</w:t>
            </w:r>
          </w:p>
          <w:p>
            <w:pPr>
              <w:pStyle w:val="19"/>
              <w:numPr>
                <w:ilvl w:val="0"/>
                <w:numId w:val="4"/>
              </w:numPr>
              <w:spacing w:line="360" w:lineRule="auto"/>
              <w:ind w:firstLineChars="0"/>
              <w:rPr>
                <w:rFonts w:ascii="仿宋" w:hAnsi="仿宋" w:eastAsia="仿宋"/>
                <w:szCs w:val="21"/>
              </w:rPr>
            </w:pPr>
            <w:r>
              <w:rPr>
                <w:rFonts w:hint="eastAsia" w:ascii="仿宋" w:hAnsi="仿宋" w:eastAsia="仿宋"/>
                <w:szCs w:val="21"/>
              </w:rPr>
              <w:t>近三年学校中考情况</w:t>
            </w:r>
          </w:p>
          <w:p>
            <w:pPr>
              <w:pStyle w:val="19"/>
              <w:numPr>
                <w:ilvl w:val="0"/>
                <w:numId w:val="4"/>
              </w:numPr>
              <w:spacing w:line="360" w:lineRule="auto"/>
              <w:ind w:firstLineChars="0"/>
              <w:rPr>
                <w:rFonts w:ascii="仿宋" w:hAnsi="仿宋" w:eastAsia="仿宋"/>
                <w:szCs w:val="21"/>
              </w:rPr>
            </w:pPr>
            <w:r>
              <w:rPr>
                <w:rFonts w:hint="eastAsia" w:ascii="仿宋" w:hAnsi="仿宋" w:eastAsia="仿宋"/>
                <w:szCs w:val="21"/>
              </w:rPr>
              <w:t>学生体质健康监测数据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atLeast"/>
          <w:jc w:val="center"/>
        </w:trPr>
        <w:tc>
          <w:tcPr>
            <w:tcW w:w="1555" w:type="dxa"/>
            <w:vAlign w:val="center"/>
          </w:tcPr>
          <w:p>
            <w:pPr>
              <w:spacing w:line="360" w:lineRule="auto"/>
              <w:jc w:val="center"/>
              <w:rPr>
                <w:rFonts w:ascii="仿宋" w:hAnsi="仿宋" w:eastAsia="仿宋"/>
                <w:b/>
                <w:bCs/>
                <w:szCs w:val="21"/>
              </w:rPr>
            </w:pPr>
            <w:r>
              <w:rPr>
                <w:rFonts w:hint="eastAsia" w:ascii="仿宋" w:hAnsi="仿宋" w:eastAsia="仿宋"/>
                <w:b/>
                <w:bCs/>
                <w:szCs w:val="21"/>
              </w:rPr>
              <w:t>A</w:t>
            </w:r>
            <w:r>
              <w:rPr>
                <w:rFonts w:ascii="仿宋" w:hAnsi="仿宋" w:eastAsia="仿宋"/>
                <w:b/>
                <w:bCs/>
                <w:szCs w:val="21"/>
              </w:rPr>
              <w:t>3</w:t>
            </w:r>
            <w:r>
              <w:rPr>
                <w:rFonts w:hint="eastAsia" w:ascii="仿宋" w:hAnsi="仿宋" w:eastAsia="仿宋"/>
                <w:b/>
                <w:bCs/>
                <w:szCs w:val="21"/>
              </w:rPr>
              <w:t>发展潜力</w:t>
            </w:r>
          </w:p>
        </w:tc>
        <w:tc>
          <w:tcPr>
            <w:tcW w:w="8495" w:type="dxa"/>
            <w:vAlign w:val="center"/>
          </w:tcPr>
          <w:p>
            <w:pPr>
              <w:pStyle w:val="19"/>
              <w:numPr>
                <w:ilvl w:val="0"/>
                <w:numId w:val="5"/>
              </w:numPr>
              <w:spacing w:line="360" w:lineRule="auto"/>
              <w:ind w:firstLineChars="0"/>
              <w:rPr>
                <w:rFonts w:ascii="仿宋" w:hAnsi="仿宋" w:eastAsia="仿宋" w:cs="Times New Roman"/>
                <w:szCs w:val="21"/>
              </w:rPr>
            </w:pPr>
            <w:r>
              <w:rPr>
                <w:rFonts w:hint="eastAsia" w:ascii="仿宋" w:hAnsi="仿宋" w:eastAsia="仿宋" w:cs="Times New Roman"/>
                <w:szCs w:val="21"/>
              </w:rPr>
              <w:t>学校发展规划</w:t>
            </w:r>
          </w:p>
          <w:p>
            <w:pPr>
              <w:pStyle w:val="19"/>
              <w:numPr>
                <w:ilvl w:val="0"/>
                <w:numId w:val="5"/>
              </w:numPr>
              <w:spacing w:line="360" w:lineRule="auto"/>
              <w:ind w:firstLineChars="0"/>
              <w:rPr>
                <w:rFonts w:ascii="仿宋" w:hAnsi="仿宋" w:eastAsia="仿宋" w:cs="Times New Roman"/>
                <w:szCs w:val="21"/>
              </w:rPr>
            </w:pPr>
            <w:r>
              <w:rPr>
                <w:rFonts w:hint="eastAsia" w:ascii="仿宋" w:hAnsi="仿宋" w:eastAsia="仿宋" w:cs="Times New Roman"/>
                <w:szCs w:val="21"/>
              </w:rPr>
              <w:t>规划落实情况总结</w:t>
            </w:r>
          </w:p>
          <w:p>
            <w:pPr>
              <w:pStyle w:val="19"/>
              <w:numPr>
                <w:ilvl w:val="0"/>
                <w:numId w:val="5"/>
              </w:numPr>
              <w:spacing w:line="360" w:lineRule="auto"/>
              <w:ind w:firstLineChars="0"/>
              <w:rPr>
                <w:rFonts w:ascii="仿宋" w:hAnsi="仿宋" w:eastAsia="仿宋" w:cs="Times New Roman"/>
                <w:szCs w:val="21"/>
              </w:rPr>
            </w:pPr>
            <w:r>
              <w:rPr>
                <w:rFonts w:hint="eastAsia" w:ascii="仿宋" w:hAnsi="仿宋" w:eastAsia="仿宋" w:cs="Times New Roman"/>
                <w:szCs w:val="21"/>
              </w:rPr>
              <w:t>学校治理组织结构图</w:t>
            </w:r>
          </w:p>
          <w:p>
            <w:pPr>
              <w:pStyle w:val="19"/>
              <w:numPr>
                <w:ilvl w:val="0"/>
                <w:numId w:val="5"/>
              </w:numPr>
              <w:spacing w:line="360" w:lineRule="auto"/>
              <w:ind w:firstLineChars="0"/>
              <w:rPr>
                <w:rFonts w:ascii="仿宋" w:hAnsi="仿宋" w:eastAsia="仿宋" w:cs="Times New Roman"/>
                <w:szCs w:val="21"/>
              </w:rPr>
            </w:pPr>
            <w:r>
              <w:rPr>
                <w:rFonts w:hint="eastAsia" w:ascii="仿宋" w:hAnsi="仿宋" w:eastAsia="仿宋" w:cs="Times New Roman"/>
                <w:szCs w:val="21"/>
              </w:rPr>
              <w:t>学校课程规划</w:t>
            </w:r>
          </w:p>
          <w:p>
            <w:pPr>
              <w:pStyle w:val="19"/>
              <w:numPr>
                <w:ilvl w:val="0"/>
                <w:numId w:val="5"/>
              </w:numPr>
              <w:spacing w:line="360" w:lineRule="auto"/>
              <w:ind w:firstLineChars="0"/>
              <w:rPr>
                <w:rFonts w:ascii="仿宋" w:hAnsi="仿宋" w:eastAsia="仿宋" w:cs="Times New Roman"/>
                <w:szCs w:val="21"/>
              </w:rPr>
            </w:pPr>
            <w:r>
              <w:rPr>
                <w:rFonts w:hint="eastAsia" w:ascii="仿宋" w:hAnsi="仿宋" w:eastAsia="仿宋" w:cs="Times New Roman"/>
                <w:szCs w:val="21"/>
              </w:rPr>
              <w:t>本学期课程总表</w:t>
            </w:r>
          </w:p>
          <w:p>
            <w:pPr>
              <w:pStyle w:val="19"/>
              <w:numPr>
                <w:ilvl w:val="0"/>
                <w:numId w:val="5"/>
              </w:numPr>
              <w:spacing w:line="360" w:lineRule="auto"/>
              <w:ind w:firstLineChars="0"/>
              <w:rPr>
                <w:rFonts w:ascii="仿宋" w:hAnsi="仿宋" w:eastAsia="仿宋"/>
                <w:szCs w:val="21"/>
              </w:rPr>
            </w:pPr>
            <w:r>
              <w:rPr>
                <w:rFonts w:hint="eastAsia" w:ascii="仿宋" w:hAnsi="仿宋" w:eastAsia="仿宋"/>
                <w:szCs w:val="21"/>
              </w:rPr>
              <w:t>教师考核激励政策文本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555" w:type="dxa"/>
            <w:vAlign w:val="center"/>
          </w:tcPr>
          <w:p>
            <w:pPr>
              <w:spacing w:line="360" w:lineRule="auto"/>
              <w:jc w:val="center"/>
              <w:rPr>
                <w:rFonts w:ascii="仿宋" w:hAnsi="仿宋" w:eastAsia="仿宋"/>
                <w:b/>
                <w:bCs/>
                <w:szCs w:val="21"/>
              </w:rPr>
            </w:pPr>
            <w:r>
              <w:rPr>
                <w:rFonts w:hint="eastAsia" w:ascii="仿宋" w:hAnsi="仿宋" w:eastAsia="仿宋"/>
                <w:b/>
                <w:bCs/>
                <w:szCs w:val="21"/>
              </w:rPr>
              <w:t>A</w:t>
            </w:r>
            <w:r>
              <w:rPr>
                <w:rFonts w:ascii="仿宋" w:hAnsi="仿宋" w:eastAsia="仿宋"/>
                <w:b/>
                <w:bCs/>
                <w:szCs w:val="21"/>
              </w:rPr>
              <w:t>4</w:t>
            </w:r>
            <w:r>
              <w:rPr>
                <w:rFonts w:hint="eastAsia" w:ascii="仿宋" w:hAnsi="仿宋" w:eastAsia="仿宋"/>
                <w:b/>
                <w:bCs/>
                <w:szCs w:val="21"/>
              </w:rPr>
              <w:t>综合判断</w:t>
            </w:r>
          </w:p>
        </w:tc>
        <w:tc>
          <w:tcPr>
            <w:tcW w:w="8495" w:type="dxa"/>
            <w:vAlign w:val="center"/>
          </w:tcPr>
          <w:p>
            <w:pPr>
              <w:pStyle w:val="19"/>
              <w:numPr>
                <w:ilvl w:val="0"/>
                <w:numId w:val="6"/>
              </w:numPr>
              <w:spacing w:line="360" w:lineRule="auto"/>
              <w:ind w:left="360" w:hanging="360" w:firstLineChars="0"/>
              <w:rPr>
                <w:rFonts w:ascii="仿宋" w:hAnsi="仿宋" w:eastAsia="仿宋"/>
                <w:szCs w:val="21"/>
              </w:rPr>
            </w:pPr>
            <w:r>
              <w:rPr>
                <w:rFonts w:hint="eastAsia" w:ascii="仿宋" w:hAnsi="仿宋" w:eastAsia="仿宋" w:cs="Times New Roman"/>
                <w:szCs w:val="21"/>
              </w:rPr>
              <w:t>学校形成的成功经验、特色资料或案例</w:t>
            </w:r>
          </w:p>
          <w:p>
            <w:pPr>
              <w:pStyle w:val="19"/>
              <w:numPr>
                <w:ilvl w:val="0"/>
                <w:numId w:val="6"/>
              </w:numPr>
              <w:spacing w:line="360" w:lineRule="auto"/>
              <w:ind w:left="360" w:hanging="360" w:firstLineChars="0"/>
              <w:rPr>
                <w:rFonts w:ascii="仿宋" w:hAnsi="仿宋" w:eastAsia="仿宋"/>
                <w:szCs w:val="21"/>
              </w:rPr>
            </w:pPr>
            <w:r>
              <w:rPr>
                <w:rFonts w:hint="eastAsia" w:ascii="仿宋" w:hAnsi="仿宋" w:eastAsia="仿宋" w:cs="Times New Roman"/>
                <w:szCs w:val="21"/>
              </w:rPr>
              <w:t>支援、受援双方教育局对托管工作的重视和支持情况相关证明资料</w:t>
            </w:r>
          </w:p>
        </w:tc>
      </w:tr>
    </w:tbl>
    <w:p>
      <w:pPr>
        <w:snapToGrid w:val="0"/>
        <w:spacing w:before="156" w:beforeLines="50" w:after="156" w:afterLines="50" w:line="360" w:lineRule="auto"/>
        <w:rPr>
          <w:rFonts w:ascii="仿宋" w:hAnsi="仿宋" w:eastAsia="仿宋"/>
          <w:sz w:val="28"/>
          <w:szCs w:val="28"/>
        </w:rPr>
      </w:pPr>
    </w:p>
    <w:p>
      <w:pPr>
        <w:snapToGrid w:val="0"/>
        <w:spacing w:before="156" w:beforeLines="50" w:after="156" w:afterLines="50" w:line="360" w:lineRule="auto"/>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4</w:t>
      </w:r>
    </w:p>
    <w:p>
      <w:pPr>
        <w:snapToGrid w:val="0"/>
        <w:spacing w:before="156" w:beforeLines="50" w:line="360" w:lineRule="auto"/>
        <w:jc w:val="center"/>
        <w:rPr>
          <w:rFonts w:ascii="黑体" w:hAnsi="黑体" w:eastAsia="黑体"/>
          <w:b/>
          <w:bCs/>
          <w:sz w:val="30"/>
          <w:szCs w:val="30"/>
        </w:rPr>
      </w:pPr>
      <w:r>
        <w:rPr>
          <w:rFonts w:hint="eastAsia" w:ascii="黑体" w:hAnsi="黑体" w:eastAsia="黑体"/>
          <w:b/>
          <w:bCs/>
          <w:sz w:val="30"/>
          <w:szCs w:val="30"/>
        </w:rPr>
        <w:t>上海市第二轮郊区学校精准委托管理绩效评估</w:t>
      </w:r>
    </w:p>
    <w:tbl>
      <w:tblPr>
        <w:tblStyle w:val="14"/>
        <w:tblpPr w:leftFromText="180" w:rightFromText="180" w:vertAnchor="page" w:horzAnchor="page" w:tblpX="1859" w:tblpY="3491"/>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417"/>
        <w:gridCol w:w="1418"/>
        <w:gridCol w:w="340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仿宋" w:hAnsi="仿宋" w:eastAsia="仿宋"/>
                <w:b/>
                <w:bCs/>
                <w:sz w:val="28"/>
                <w:szCs w:val="28"/>
              </w:rPr>
            </w:pPr>
            <w:r>
              <w:rPr>
                <w:rFonts w:hint="eastAsia" w:ascii="仿宋" w:hAnsi="仿宋" w:eastAsia="仿宋"/>
                <w:b/>
                <w:bCs/>
                <w:sz w:val="28"/>
                <w:szCs w:val="28"/>
              </w:rPr>
              <w:t>序号</w:t>
            </w:r>
          </w:p>
        </w:tc>
        <w:tc>
          <w:tcPr>
            <w:tcW w:w="1417" w:type="dxa"/>
            <w:vAlign w:val="center"/>
          </w:tcPr>
          <w:p>
            <w:pPr>
              <w:spacing w:line="360" w:lineRule="auto"/>
              <w:jc w:val="center"/>
              <w:rPr>
                <w:rFonts w:ascii="仿宋" w:hAnsi="仿宋" w:eastAsia="仿宋"/>
                <w:b/>
                <w:bCs/>
                <w:sz w:val="28"/>
                <w:szCs w:val="28"/>
              </w:rPr>
            </w:pPr>
            <w:r>
              <w:rPr>
                <w:rFonts w:hint="eastAsia" w:ascii="仿宋" w:hAnsi="仿宋" w:eastAsia="仿宋"/>
                <w:b/>
                <w:bCs/>
                <w:sz w:val="28"/>
                <w:szCs w:val="28"/>
              </w:rPr>
              <w:t>受援</w:t>
            </w:r>
            <w:r>
              <w:rPr>
                <w:rFonts w:ascii="仿宋" w:hAnsi="仿宋" w:eastAsia="仿宋"/>
                <w:b/>
                <w:bCs/>
                <w:sz w:val="28"/>
                <w:szCs w:val="28"/>
              </w:rPr>
              <w:t>学校</w:t>
            </w:r>
          </w:p>
        </w:tc>
        <w:tc>
          <w:tcPr>
            <w:tcW w:w="1418" w:type="dxa"/>
            <w:vAlign w:val="center"/>
          </w:tcPr>
          <w:p>
            <w:pPr>
              <w:spacing w:line="360" w:lineRule="auto"/>
              <w:jc w:val="center"/>
              <w:rPr>
                <w:rFonts w:ascii="仿宋" w:hAnsi="仿宋" w:eastAsia="仿宋"/>
                <w:b/>
                <w:bCs/>
                <w:sz w:val="28"/>
                <w:szCs w:val="28"/>
              </w:rPr>
            </w:pPr>
            <w:r>
              <w:rPr>
                <w:rFonts w:hint="eastAsia" w:ascii="仿宋" w:hAnsi="仿宋" w:eastAsia="仿宋"/>
                <w:b/>
                <w:bCs/>
                <w:sz w:val="28"/>
                <w:szCs w:val="28"/>
              </w:rPr>
              <w:t>支援单位</w:t>
            </w:r>
          </w:p>
        </w:tc>
        <w:tc>
          <w:tcPr>
            <w:tcW w:w="3402" w:type="dxa"/>
            <w:vAlign w:val="center"/>
          </w:tcPr>
          <w:p>
            <w:pPr>
              <w:spacing w:line="360" w:lineRule="auto"/>
              <w:jc w:val="center"/>
              <w:rPr>
                <w:rFonts w:ascii="仿宋" w:hAnsi="仿宋" w:eastAsia="仿宋"/>
                <w:b/>
                <w:bCs/>
                <w:sz w:val="28"/>
                <w:szCs w:val="28"/>
              </w:rPr>
            </w:pPr>
            <w:r>
              <w:rPr>
                <w:rFonts w:ascii="仿宋" w:hAnsi="仿宋" w:eastAsia="仿宋"/>
                <w:b/>
                <w:bCs/>
                <w:sz w:val="28"/>
                <w:szCs w:val="28"/>
              </w:rPr>
              <w:t>区</w:t>
            </w:r>
            <w:r>
              <w:rPr>
                <w:rFonts w:hint="eastAsia" w:ascii="仿宋" w:hAnsi="仿宋" w:eastAsia="仿宋"/>
                <w:b/>
                <w:bCs/>
                <w:sz w:val="28"/>
                <w:szCs w:val="28"/>
              </w:rPr>
              <w:t>评估结果</w:t>
            </w:r>
          </w:p>
          <w:p>
            <w:pPr>
              <w:spacing w:line="360" w:lineRule="auto"/>
              <w:jc w:val="center"/>
              <w:rPr>
                <w:rFonts w:ascii="仿宋" w:hAnsi="仿宋" w:eastAsia="仿宋"/>
                <w:b/>
                <w:bCs/>
                <w:sz w:val="28"/>
                <w:szCs w:val="28"/>
              </w:rPr>
            </w:pPr>
            <w:r>
              <w:rPr>
                <w:rFonts w:hint="eastAsia" w:ascii="仿宋" w:hAnsi="仿宋" w:eastAsia="仿宋"/>
                <w:b/>
                <w:bCs/>
                <w:sz w:val="28"/>
                <w:szCs w:val="28"/>
              </w:rPr>
              <w:t>（优秀、合格、不合格）</w:t>
            </w:r>
          </w:p>
        </w:tc>
        <w:tc>
          <w:tcPr>
            <w:tcW w:w="1134" w:type="dxa"/>
            <w:vAlign w:val="center"/>
          </w:tcPr>
          <w:p>
            <w:pPr>
              <w:spacing w:line="360" w:lineRule="auto"/>
              <w:jc w:val="center"/>
              <w:rPr>
                <w:rFonts w:ascii="仿宋" w:hAnsi="仿宋" w:eastAsia="仿宋"/>
                <w:b/>
                <w:bCs/>
                <w:sz w:val="28"/>
                <w:szCs w:val="28"/>
              </w:rPr>
            </w:pPr>
            <w:r>
              <w:rPr>
                <w:rFonts w:hint="eastAsia" w:ascii="仿宋" w:hAnsi="仿宋" w:eastAsia="仿宋"/>
                <w:b/>
                <w:bCs/>
                <w:sz w:val="28"/>
                <w:szCs w:val="28"/>
              </w:rPr>
              <w:t>区排序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仿宋" w:hAnsi="仿宋" w:eastAsia="仿宋"/>
                <w:b/>
                <w:bCs/>
                <w:sz w:val="24"/>
                <w:szCs w:val="24"/>
              </w:rPr>
            </w:pPr>
          </w:p>
        </w:tc>
        <w:tc>
          <w:tcPr>
            <w:tcW w:w="1417" w:type="dxa"/>
            <w:vAlign w:val="center"/>
          </w:tcPr>
          <w:p>
            <w:pPr>
              <w:spacing w:line="360" w:lineRule="auto"/>
              <w:jc w:val="center"/>
              <w:rPr>
                <w:rFonts w:ascii="仿宋" w:hAnsi="仿宋" w:eastAsia="仿宋"/>
                <w:b/>
                <w:bCs/>
                <w:sz w:val="24"/>
                <w:szCs w:val="24"/>
              </w:rPr>
            </w:pPr>
          </w:p>
        </w:tc>
        <w:tc>
          <w:tcPr>
            <w:tcW w:w="1418" w:type="dxa"/>
            <w:vAlign w:val="center"/>
          </w:tcPr>
          <w:p>
            <w:pPr>
              <w:spacing w:line="360" w:lineRule="auto"/>
              <w:jc w:val="center"/>
              <w:rPr>
                <w:rFonts w:ascii="仿宋" w:hAnsi="仿宋" w:eastAsia="仿宋"/>
                <w:b/>
                <w:bCs/>
                <w:sz w:val="24"/>
                <w:szCs w:val="24"/>
              </w:rPr>
            </w:pPr>
          </w:p>
        </w:tc>
        <w:tc>
          <w:tcPr>
            <w:tcW w:w="3402" w:type="dxa"/>
            <w:vAlign w:val="center"/>
          </w:tcPr>
          <w:p>
            <w:pPr>
              <w:spacing w:line="360" w:lineRule="auto"/>
              <w:jc w:val="center"/>
              <w:rPr>
                <w:rFonts w:ascii="仿宋" w:hAnsi="仿宋" w:eastAsia="仿宋"/>
                <w:b/>
                <w:bCs/>
                <w:sz w:val="24"/>
                <w:szCs w:val="24"/>
              </w:rPr>
            </w:pPr>
          </w:p>
        </w:tc>
        <w:tc>
          <w:tcPr>
            <w:tcW w:w="1134" w:type="dxa"/>
          </w:tcPr>
          <w:p>
            <w:pPr>
              <w:spacing w:line="360" w:lineRule="auto"/>
              <w:jc w:val="center"/>
              <w:rPr>
                <w:rFonts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仿宋" w:hAnsi="仿宋" w:eastAsia="仿宋"/>
                <w:b/>
                <w:bCs/>
                <w:sz w:val="24"/>
                <w:szCs w:val="24"/>
              </w:rPr>
            </w:pPr>
          </w:p>
        </w:tc>
        <w:tc>
          <w:tcPr>
            <w:tcW w:w="1417" w:type="dxa"/>
            <w:vAlign w:val="center"/>
          </w:tcPr>
          <w:p>
            <w:pPr>
              <w:spacing w:line="360" w:lineRule="auto"/>
              <w:jc w:val="center"/>
              <w:rPr>
                <w:rFonts w:ascii="仿宋" w:hAnsi="仿宋" w:eastAsia="仿宋"/>
                <w:b/>
                <w:bCs/>
                <w:sz w:val="24"/>
                <w:szCs w:val="24"/>
              </w:rPr>
            </w:pPr>
          </w:p>
        </w:tc>
        <w:tc>
          <w:tcPr>
            <w:tcW w:w="1418" w:type="dxa"/>
            <w:vAlign w:val="center"/>
          </w:tcPr>
          <w:p>
            <w:pPr>
              <w:spacing w:line="360" w:lineRule="auto"/>
              <w:jc w:val="center"/>
              <w:rPr>
                <w:rFonts w:ascii="仿宋" w:hAnsi="仿宋" w:eastAsia="仿宋"/>
                <w:b/>
                <w:bCs/>
                <w:sz w:val="24"/>
                <w:szCs w:val="24"/>
              </w:rPr>
            </w:pPr>
          </w:p>
        </w:tc>
        <w:tc>
          <w:tcPr>
            <w:tcW w:w="3402" w:type="dxa"/>
            <w:vAlign w:val="center"/>
          </w:tcPr>
          <w:p>
            <w:pPr>
              <w:spacing w:line="360" w:lineRule="auto"/>
              <w:jc w:val="center"/>
              <w:rPr>
                <w:rFonts w:ascii="仿宋" w:hAnsi="仿宋" w:eastAsia="仿宋"/>
                <w:b/>
                <w:bCs/>
                <w:sz w:val="24"/>
                <w:szCs w:val="24"/>
              </w:rPr>
            </w:pPr>
          </w:p>
        </w:tc>
        <w:tc>
          <w:tcPr>
            <w:tcW w:w="1134" w:type="dxa"/>
          </w:tcPr>
          <w:p>
            <w:pPr>
              <w:spacing w:line="360" w:lineRule="auto"/>
              <w:jc w:val="center"/>
              <w:rPr>
                <w:rFonts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仿宋" w:hAnsi="仿宋" w:eastAsia="仿宋"/>
                <w:b/>
                <w:bCs/>
                <w:sz w:val="24"/>
                <w:szCs w:val="24"/>
              </w:rPr>
            </w:pPr>
          </w:p>
        </w:tc>
        <w:tc>
          <w:tcPr>
            <w:tcW w:w="1417" w:type="dxa"/>
            <w:vAlign w:val="center"/>
          </w:tcPr>
          <w:p>
            <w:pPr>
              <w:spacing w:line="360" w:lineRule="auto"/>
              <w:jc w:val="center"/>
              <w:rPr>
                <w:rFonts w:ascii="仿宋" w:hAnsi="仿宋" w:eastAsia="仿宋"/>
                <w:b/>
                <w:bCs/>
                <w:sz w:val="24"/>
                <w:szCs w:val="24"/>
              </w:rPr>
            </w:pPr>
          </w:p>
        </w:tc>
        <w:tc>
          <w:tcPr>
            <w:tcW w:w="1418" w:type="dxa"/>
            <w:vAlign w:val="center"/>
          </w:tcPr>
          <w:p>
            <w:pPr>
              <w:spacing w:line="360" w:lineRule="auto"/>
              <w:jc w:val="center"/>
              <w:rPr>
                <w:rFonts w:ascii="仿宋" w:hAnsi="仿宋" w:eastAsia="仿宋"/>
                <w:b/>
                <w:bCs/>
                <w:sz w:val="24"/>
                <w:szCs w:val="24"/>
              </w:rPr>
            </w:pPr>
          </w:p>
        </w:tc>
        <w:tc>
          <w:tcPr>
            <w:tcW w:w="3402" w:type="dxa"/>
            <w:vAlign w:val="center"/>
          </w:tcPr>
          <w:p>
            <w:pPr>
              <w:spacing w:line="360" w:lineRule="auto"/>
              <w:jc w:val="center"/>
              <w:rPr>
                <w:rFonts w:ascii="仿宋" w:hAnsi="仿宋" w:eastAsia="仿宋"/>
                <w:b/>
                <w:bCs/>
                <w:sz w:val="24"/>
                <w:szCs w:val="24"/>
              </w:rPr>
            </w:pPr>
          </w:p>
        </w:tc>
        <w:tc>
          <w:tcPr>
            <w:tcW w:w="1134" w:type="dxa"/>
          </w:tcPr>
          <w:p>
            <w:pPr>
              <w:spacing w:line="360" w:lineRule="auto"/>
              <w:jc w:val="center"/>
              <w:rPr>
                <w:rFonts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仿宋" w:hAnsi="仿宋" w:eastAsia="仿宋"/>
                <w:b/>
                <w:bCs/>
                <w:sz w:val="24"/>
                <w:szCs w:val="24"/>
              </w:rPr>
            </w:pPr>
          </w:p>
        </w:tc>
        <w:tc>
          <w:tcPr>
            <w:tcW w:w="1417" w:type="dxa"/>
            <w:vAlign w:val="center"/>
          </w:tcPr>
          <w:p>
            <w:pPr>
              <w:spacing w:line="360" w:lineRule="auto"/>
              <w:jc w:val="center"/>
              <w:rPr>
                <w:rFonts w:ascii="仿宋" w:hAnsi="仿宋" w:eastAsia="仿宋"/>
                <w:b/>
                <w:bCs/>
                <w:sz w:val="24"/>
                <w:szCs w:val="24"/>
              </w:rPr>
            </w:pPr>
          </w:p>
        </w:tc>
        <w:tc>
          <w:tcPr>
            <w:tcW w:w="1418" w:type="dxa"/>
            <w:vAlign w:val="center"/>
          </w:tcPr>
          <w:p>
            <w:pPr>
              <w:spacing w:line="360" w:lineRule="auto"/>
              <w:jc w:val="center"/>
              <w:rPr>
                <w:rFonts w:ascii="仿宋" w:hAnsi="仿宋" w:eastAsia="仿宋"/>
                <w:b/>
                <w:bCs/>
                <w:sz w:val="24"/>
                <w:szCs w:val="24"/>
              </w:rPr>
            </w:pPr>
          </w:p>
        </w:tc>
        <w:tc>
          <w:tcPr>
            <w:tcW w:w="3402" w:type="dxa"/>
            <w:vAlign w:val="center"/>
          </w:tcPr>
          <w:p>
            <w:pPr>
              <w:spacing w:line="360" w:lineRule="auto"/>
              <w:jc w:val="center"/>
              <w:rPr>
                <w:rFonts w:ascii="仿宋" w:hAnsi="仿宋" w:eastAsia="仿宋"/>
                <w:b/>
                <w:bCs/>
                <w:sz w:val="24"/>
                <w:szCs w:val="24"/>
              </w:rPr>
            </w:pPr>
          </w:p>
        </w:tc>
        <w:tc>
          <w:tcPr>
            <w:tcW w:w="1134" w:type="dxa"/>
          </w:tcPr>
          <w:p>
            <w:pPr>
              <w:spacing w:line="360" w:lineRule="auto"/>
              <w:jc w:val="center"/>
              <w:rPr>
                <w:rFonts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仿宋" w:hAnsi="仿宋" w:eastAsia="仿宋"/>
                <w:b/>
                <w:bCs/>
                <w:sz w:val="24"/>
                <w:szCs w:val="24"/>
              </w:rPr>
            </w:pPr>
          </w:p>
        </w:tc>
        <w:tc>
          <w:tcPr>
            <w:tcW w:w="1417" w:type="dxa"/>
            <w:vAlign w:val="center"/>
          </w:tcPr>
          <w:p>
            <w:pPr>
              <w:spacing w:line="360" w:lineRule="auto"/>
              <w:jc w:val="center"/>
              <w:rPr>
                <w:rFonts w:ascii="仿宋" w:hAnsi="仿宋" w:eastAsia="仿宋"/>
                <w:b/>
                <w:bCs/>
                <w:sz w:val="24"/>
                <w:szCs w:val="24"/>
              </w:rPr>
            </w:pPr>
          </w:p>
        </w:tc>
        <w:tc>
          <w:tcPr>
            <w:tcW w:w="1418" w:type="dxa"/>
            <w:vAlign w:val="center"/>
          </w:tcPr>
          <w:p>
            <w:pPr>
              <w:spacing w:line="360" w:lineRule="auto"/>
              <w:jc w:val="center"/>
              <w:rPr>
                <w:rFonts w:ascii="仿宋" w:hAnsi="仿宋" w:eastAsia="仿宋"/>
                <w:b/>
                <w:bCs/>
                <w:sz w:val="24"/>
                <w:szCs w:val="24"/>
              </w:rPr>
            </w:pPr>
          </w:p>
        </w:tc>
        <w:tc>
          <w:tcPr>
            <w:tcW w:w="3402" w:type="dxa"/>
            <w:vAlign w:val="center"/>
          </w:tcPr>
          <w:p>
            <w:pPr>
              <w:spacing w:line="360" w:lineRule="auto"/>
              <w:jc w:val="center"/>
              <w:rPr>
                <w:rFonts w:ascii="仿宋" w:hAnsi="仿宋" w:eastAsia="仿宋"/>
                <w:b/>
                <w:bCs/>
                <w:sz w:val="24"/>
                <w:szCs w:val="24"/>
              </w:rPr>
            </w:pPr>
          </w:p>
        </w:tc>
        <w:tc>
          <w:tcPr>
            <w:tcW w:w="1134" w:type="dxa"/>
          </w:tcPr>
          <w:p>
            <w:pPr>
              <w:spacing w:line="360" w:lineRule="auto"/>
              <w:jc w:val="center"/>
              <w:rPr>
                <w:rFonts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仿宋" w:hAnsi="仿宋" w:eastAsia="仿宋"/>
                <w:b/>
                <w:bCs/>
                <w:sz w:val="24"/>
                <w:szCs w:val="24"/>
              </w:rPr>
            </w:pPr>
          </w:p>
        </w:tc>
        <w:tc>
          <w:tcPr>
            <w:tcW w:w="1417" w:type="dxa"/>
            <w:vAlign w:val="center"/>
          </w:tcPr>
          <w:p>
            <w:pPr>
              <w:spacing w:line="360" w:lineRule="auto"/>
              <w:jc w:val="center"/>
              <w:rPr>
                <w:rFonts w:ascii="仿宋" w:hAnsi="仿宋" w:eastAsia="仿宋"/>
                <w:b/>
                <w:bCs/>
                <w:sz w:val="24"/>
                <w:szCs w:val="24"/>
              </w:rPr>
            </w:pPr>
          </w:p>
        </w:tc>
        <w:tc>
          <w:tcPr>
            <w:tcW w:w="1418" w:type="dxa"/>
            <w:vAlign w:val="center"/>
          </w:tcPr>
          <w:p>
            <w:pPr>
              <w:spacing w:line="360" w:lineRule="auto"/>
              <w:jc w:val="center"/>
              <w:rPr>
                <w:rFonts w:ascii="仿宋" w:hAnsi="仿宋" w:eastAsia="仿宋"/>
                <w:b/>
                <w:bCs/>
                <w:sz w:val="24"/>
                <w:szCs w:val="24"/>
              </w:rPr>
            </w:pPr>
          </w:p>
        </w:tc>
        <w:tc>
          <w:tcPr>
            <w:tcW w:w="3402" w:type="dxa"/>
            <w:vAlign w:val="center"/>
          </w:tcPr>
          <w:p>
            <w:pPr>
              <w:spacing w:line="360" w:lineRule="auto"/>
              <w:jc w:val="center"/>
              <w:rPr>
                <w:rFonts w:ascii="仿宋" w:hAnsi="仿宋" w:eastAsia="仿宋"/>
                <w:b/>
                <w:bCs/>
                <w:sz w:val="24"/>
                <w:szCs w:val="24"/>
              </w:rPr>
            </w:pPr>
          </w:p>
        </w:tc>
        <w:tc>
          <w:tcPr>
            <w:tcW w:w="1134" w:type="dxa"/>
          </w:tcPr>
          <w:p>
            <w:pPr>
              <w:spacing w:line="360" w:lineRule="auto"/>
              <w:jc w:val="center"/>
              <w:rPr>
                <w:rFonts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仿宋" w:hAnsi="仿宋" w:eastAsia="仿宋"/>
                <w:b/>
                <w:bCs/>
                <w:sz w:val="24"/>
                <w:szCs w:val="24"/>
              </w:rPr>
            </w:pPr>
          </w:p>
        </w:tc>
        <w:tc>
          <w:tcPr>
            <w:tcW w:w="1417" w:type="dxa"/>
            <w:vAlign w:val="center"/>
          </w:tcPr>
          <w:p>
            <w:pPr>
              <w:spacing w:line="360" w:lineRule="auto"/>
              <w:jc w:val="center"/>
              <w:rPr>
                <w:rFonts w:ascii="仿宋" w:hAnsi="仿宋" w:eastAsia="仿宋"/>
                <w:b/>
                <w:bCs/>
                <w:sz w:val="24"/>
                <w:szCs w:val="24"/>
              </w:rPr>
            </w:pPr>
          </w:p>
        </w:tc>
        <w:tc>
          <w:tcPr>
            <w:tcW w:w="1418" w:type="dxa"/>
            <w:vAlign w:val="center"/>
          </w:tcPr>
          <w:p>
            <w:pPr>
              <w:spacing w:line="360" w:lineRule="auto"/>
              <w:jc w:val="center"/>
              <w:rPr>
                <w:rFonts w:ascii="仿宋" w:hAnsi="仿宋" w:eastAsia="仿宋"/>
                <w:b/>
                <w:bCs/>
                <w:sz w:val="24"/>
                <w:szCs w:val="24"/>
              </w:rPr>
            </w:pPr>
          </w:p>
        </w:tc>
        <w:tc>
          <w:tcPr>
            <w:tcW w:w="3402" w:type="dxa"/>
            <w:vAlign w:val="center"/>
          </w:tcPr>
          <w:p>
            <w:pPr>
              <w:spacing w:line="360" w:lineRule="auto"/>
              <w:jc w:val="center"/>
              <w:rPr>
                <w:rFonts w:ascii="仿宋" w:hAnsi="仿宋" w:eastAsia="仿宋"/>
                <w:b/>
                <w:bCs/>
                <w:sz w:val="24"/>
                <w:szCs w:val="24"/>
              </w:rPr>
            </w:pPr>
          </w:p>
        </w:tc>
        <w:tc>
          <w:tcPr>
            <w:tcW w:w="1134" w:type="dxa"/>
          </w:tcPr>
          <w:p>
            <w:pPr>
              <w:spacing w:line="360" w:lineRule="auto"/>
              <w:jc w:val="center"/>
              <w:rPr>
                <w:rFonts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仿宋" w:hAnsi="仿宋" w:eastAsia="仿宋"/>
                <w:b/>
                <w:bCs/>
                <w:sz w:val="24"/>
                <w:szCs w:val="24"/>
              </w:rPr>
            </w:pPr>
          </w:p>
        </w:tc>
        <w:tc>
          <w:tcPr>
            <w:tcW w:w="1417" w:type="dxa"/>
            <w:vAlign w:val="center"/>
          </w:tcPr>
          <w:p>
            <w:pPr>
              <w:spacing w:line="360" w:lineRule="auto"/>
              <w:jc w:val="center"/>
              <w:rPr>
                <w:rFonts w:ascii="仿宋" w:hAnsi="仿宋" w:eastAsia="仿宋"/>
                <w:b/>
                <w:bCs/>
                <w:sz w:val="24"/>
                <w:szCs w:val="24"/>
              </w:rPr>
            </w:pPr>
          </w:p>
        </w:tc>
        <w:tc>
          <w:tcPr>
            <w:tcW w:w="1418" w:type="dxa"/>
            <w:vAlign w:val="center"/>
          </w:tcPr>
          <w:p>
            <w:pPr>
              <w:spacing w:line="360" w:lineRule="auto"/>
              <w:jc w:val="center"/>
              <w:rPr>
                <w:rFonts w:ascii="仿宋" w:hAnsi="仿宋" w:eastAsia="仿宋"/>
                <w:b/>
                <w:bCs/>
                <w:sz w:val="24"/>
                <w:szCs w:val="24"/>
              </w:rPr>
            </w:pPr>
          </w:p>
        </w:tc>
        <w:tc>
          <w:tcPr>
            <w:tcW w:w="3402" w:type="dxa"/>
            <w:vAlign w:val="center"/>
          </w:tcPr>
          <w:p>
            <w:pPr>
              <w:spacing w:line="360" w:lineRule="auto"/>
              <w:jc w:val="center"/>
              <w:rPr>
                <w:rFonts w:ascii="仿宋" w:hAnsi="仿宋" w:eastAsia="仿宋"/>
                <w:b/>
                <w:bCs/>
                <w:sz w:val="24"/>
                <w:szCs w:val="24"/>
              </w:rPr>
            </w:pPr>
          </w:p>
        </w:tc>
        <w:tc>
          <w:tcPr>
            <w:tcW w:w="1134" w:type="dxa"/>
          </w:tcPr>
          <w:p>
            <w:pPr>
              <w:spacing w:line="360" w:lineRule="auto"/>
              <w:jc w:val="center"/>
              <w:rPr>
                <w:rFonts w:ascii="仿宋" w:hAnsi="仿宋" w:eastAsia="仿宋"/>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spacing w:line="360" w:lineRule="auto"/>
              <w:jc w:val="center"/>
              <w:rPr>
                <w:rFonts w:ascii="仿宋" w:hAnsi="仿宋" w:eastAsia="仿宋"/>
                <w:b/>
                <w:bCs/>
                <w:sz w:val="24"/>
                <w:szCs w:val="24"/>
              </w:rPr>
            </w:pPr>
          </w:p>
        </w:tc>
        <w:tc>
          <w:tcPr>
            <w:tcW w:w="1417" w:type="dxa"/>
            <w:vAlign w:val="center"/>
          </w:tcPr>
          <w:p>
            <w:pPr>
              <w:spacing w:line="360" w:lineRule="auto"/>
              <w:jc w:val="center"/>
              <w:rPr>
                <w:rFonts w:ascii="仿宋" w:hAnsi="仿宋" w:eastAsia="仿宋"/>
                <w:b/>
                <w:bCs/>
                <w:sz w:val="24"/>
                <w:szCs w:val="24"/>
              </w:rPr>
            </w:pPr>
          </w:p>
        </w:tc>
        <w:tc>
          <w:tcPr>
            <w:tcW w:w="1418" w:type="dxa"/>
            <w:vAlign w:val="center"/>
          </w:tcPr>
          <w:p>
            <w:pPr>
              <w:spacing w:line="360" w:lineRule="auto"/>
              <w:jc w:val="center"/>
              <w:rPr>
                <w:rFonts w:ascii="仿宋" w:hAnsi="仿宋" w:eastAsia="仿宋"/>
                <w:b/>
                <w:bCs/>
                <w:sz w:val="24"/>
                <w:szCs w:val="24"/>
              </w:rPr>
            </w:pPr>
          </w:p>
        </w:tc>
        <w:tc>
          <w:tcPr>
            <w:tcW w:w="3402" w:type="dxa"/>
            <w:vAlign w:val="center"/>
          </w:tcPr>
          <w:p>
            <w:pPr>
              <w:spacing w:line="360" w:lineRule="auto"/>
              <w:jc w:val="center"/>
              <w:rPr>
                <w:rFonts w:ascii="仿宋" w:hAnsi="仿宋" w:eastAsia="仿宋"/>
                <w:b/>
                <w:bCs/>
                <w:sz w:val="24"/>
                <w:szCs w:val="24"/>
              </w:rPr>
            </w:pPr>
          </w:p>
        </w:tc>
        <w:tc>
          <w:tcPr>
            <w:tcW w:w="1134" w:type="dxa"/>
          </w:tcPr>
          <w:p>
            <w:pPr>
              <w:spacing w:line="360" w:lineRule="auto"/>
              <w:jc w:val="center"/>
              <w:rPr>
                <w:rFonts w:ascii="仿宋" w:hAnsi="仿宋" w:eastAsia="仿宋"/>
                <w:b/>
                <w:bCs/>
                <w:sz w:val="24"/>
                <w:szCs w:val="24"/>
              </w:rPr>
            </w:pPr>
          </w:p>
        </w:tc>
      </w:tr>
    </w:tbl>
    <w:p>
      <w:pPr>
        <w:snapToGrid w:val="0"/>
        <w:spacing w:after="156" w:afterLines="50" w:line="360" w:lineRule="auto"/>
        <w:jc w:val="center"/>
        <w:rPr>
          <w:rFonts w:ascii="黑体" w:hAnsi="黑体" w:eastAsia="黑体"/>
          <w:b/>
          <w:bCs/>
          <w:sz w:val="30"/>
          <w:szCs w:val="30"/>
        </w:rPr>
      </w:pPr>
      <w:r>
        <w:rPr>
          <w:rFonts w:hint="eastAsia" w:ascii="黑体" w:hAnsi="黑体" w:eastAsia="黑体"/>
          <w:b/>
          <w:bCs/>
          <w:sz w:val="30"/>
          <w:szCs w:val="30"/>
        </w:rPr>
        <w:t>区评价排序表</w:t>
      </w:r>
    </w:p>
    <w:p>
      <w:pPr>
        <w:spacing w:before="312" w:beforeLines="100" w:after="312" w:afterLines="100" w:line="360" w:lineRule="auto"/>
        <w:jc w:val="cente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p>
    <w:p>
      <w:pPr>
        <w:spacing w:before="312" w:beforeLines="100" w:line="360" w:lineRule="auto"/>
        <w:jc w:val="right"/>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p>
    <w:p>
      <w:pPr>
        <w:spacing w:before="312" w:beforeLines="100" w:line="360" w:lineRule="auto"/>
        <w:jc w:val="right"/>
        <w:rPr>
          <w:rFonts w:ascii="仿宋" w:hAnsi="仿宋" w:eastAsia="仿宋"/>
          <w:sz w:val="28"/>
          <w:szCs w:val="28"/>
        </w:rPr>
      </w:pPr>
    </w:p>
    <w:p>
      <w:pPr>
        <w:spacing w:before="312" w:beforeLines="100" w:line="360" w:lineRule="auto"/>
        <w:jc w:val="right"/>
        <w:rPr>
          <w:rFonts w:ascii="仿宋" w:hAnsi="仿宋" w:eastAsia="仿宋"/>
          <w:sz w:val="28"/>
          <w:szCs w:val="28"/>
        </w:rPr>
      </w:pPr>
    </w:p>
    <w:p>
      <w:pPr>
        <w:spacing w:before="312" w:beforeLines="100" w:line="360" w:lineRule="auto"/>
        <w:jc w:val="right"/>
        <w:rPr>
          <w:rFonts w:ascii="仿宋" w:hAnsi="仿宋" w:eastAsia="仿宋"/>
          <w:sz w:val="28"/>
          <w:szCs w:val="28"/>
        </w:rPr>
      </w:pPr>
    </w:p>
    <w:p>
      <w:pPr>
        <w:spacing w:before="312" w:beforeLines="100" w:line="360" w:lineRule="auto"/>
        <w:jc w:val="right"/>
        <w:rPr>
          <w:rFonts w:ascii="仿宋" w:hAnsi="仿宋" w:eastAsia="仿宋"/>
          <w:sz w:val="28"/>
          <w:szCs w:val="28"/>
        </w:rPr>
      </w:pPr>
    </w:p>
    <w:p>
      <w:pPr>
        <w:spacing w:before="312" w:beforeLines="100" w:line="360" w:lineRule="auto"/>
        <w:jc w:val="right"/>
        <w:rPr>
          <w:rFonts w:ascii="仿宋" w:hAnsi="仿宋" w:eastAsia="仿宋"/>
          <w:sz w:val="28"/>
          <w:szCs w:val="28"/>
        </w:rPr>
      </w:pPr>
    </w:p>
    <w:p>
      <w:pPr>
        <w:spacing w:before="312" w:beforeLines="100" w:line="360" w:lineRule="auto"/>
        <w:jc w:val="right"/>
        <w:rPr>
          <w:rFonts w:ascii="仿宋" w:hAnsi="仿宋" w:eastAsia="仿宋"/>
          <w:sz w:val="28"/>
          <w:szCs w:val="28"/>
        </w:rPr>
      </w:pPr>
    </w:p>
    <w:p>
      <w:pPr>
        <w:spacing w:before="312" w:beforeLines="100" w:line="360" w:lineRule="auto"/>
        <w:jc w:val="right"/>
        <w:rPr>
          <w:rFonts w:ascii="仿宋" w:hAnsi="仿宋" w:eastAsia="仿宋"/>
          <w:sz w:val="28"/>
          <w:szCs w:val="28"/>
        </w:rPr>
      </w:pPr>
      <w:r>
        <w:rPr>
          <w:rFonts w:ascii="仿宋" w:hAnsi="仿宋" w:eastAsia="仿宋"/>
          <w:sz w:val="28"/>
          <w:szCs w:val="28"/>
        </w:rPr>
        <w:t>XX区教育局</w:t>
      </w:r>
      <w:r>
        <w:rPr>
          <w:rFonts w:hint="eastAsia" w:ascii="仿宋" w:hAnsi="仿宋" w:eastAsia="仿宋"/>
          <w:sz w:val="28"/>
          <w:szCs w:val="28"/>
        </w:rPr>
        <w:t>（盖章）</w:t>
      </w:r>
    </w:p>
    <w:p>
      <w:pPr>
        <w:spacing w:after="156" w:afterLines="50" w:line="360" w:lineRule="auto"/>
        <w:jc w:val="center"/>
        <w:rPr>
          <w:rFonts w:ascii="仿宋" w:hAnsi="仿宋" w:eastAsia="仿宋"/>
          <w:sz w:val="28"/>
          <w:szCs w:val="28"/>
        </w:rPr>
      </w:pPr>
      <w:r>
        <w:rPr>
          <w:rFonts w:hint="eastAsia" w:ascii="仿宋" w:hAnsi="仿宋" w:eastAsia="仿宋"/>
          <w:sz w:val="28"/>
          <w:szCs w:val="28"/>
          <w:lang w:val="en-US" w:eastAsia="zh-CN"/>
        </w:rPr>
        <w:t xml:space="preserve">                                               </w:t>
      </w:r>
      <w:r>
        <w:rPr>
          <w:rFonts w:hint="eastAsia" w:ascii="仿宋" w:hAnsi="仿宋" w:eastAsia="仿宋"/>
          <w:sz w:val="28"/>
          <w:szCs w:val="28"/>
        </w:rPr>
        <w:t xml:space="preserve">年 </w:t>
      </w:r>
      <w:r>
        <w:rPr>
          <w:rFonts w:ascii="仿宋" w:hAnsi="仿宋" w:eastAsia="仿宋"/>
          <w:sz w:val="28"/>
          <w:szCs w:val="28"/>
        </w:rPr>
        <w:t xml:space="preserve"> </w:t>
      </w:r>
      <w:r>
        <w:rPr>
          <w:rFonts w:hint="eastAsia" w:ascii="仿宋" w:hAnsi="仿宋" w:eastAsia="仿宋"/>
          <w:sz w:val="28"/>
          <w:szCs w:val="28"/>
        </w:rPr>
        <w:t xml:space="preserve">月 </w:t>
      </w:r>
      <w:r>
        <w:rPr>
          <w:rFonts w:ascii="仿宋" w:hAnsi="仿宋" w:eastAsia="仿宋"/>
          <w:sz w:val="28"/>
          <w:szCs w:val="28"/>
        </w:rPr>
        <w:t xml:space="preserve"> </w:t>
      </w:r>
      <w:r>
        <w:rPr>
          <w:rFonts w:hint="eastAsia" w:ascii="仿宋" w:hAnsi="仿宋" w:eastAsia="仿宋"/>
          <w:sz w:val="28"/>
          <w:szCs w:val="28"/>
        </w:rPr>
        <w:t>日</w:t>
      </w:r>
    </w:p>
    <w:p>
      <w:pPr>
        <w:spacing w:after="156" w:afterLines="50" w:line="360" w:lineRule="auto"/>
        <w:rPr>
          <w:rFonts w:ascii="仿宋" w:hAnsi="仿宋" w:eastAsia="仿宋"/>
          <w:sz w:val="28"/>
          <w:szCs w:val="28"/>
        </w:rPr>
      </w:pPr>
      <w:r>
        <w:rPr>
          <w:rFonts w:hint="eastAsia" w:ascii="仿宋" w:hAnsi="仿宋" w:eastAsia="仿宋"/>
          <w:sz w:val="28"/>
          <w:szCs w:val="28"/>
        </w:rPr>
        <w:t xml:space="preserve">         </w:t>
      </w:r>
    </w:p>
    <w:p>
      <w:pPr>
        <w:spacing w:after="156" w:afterLines="50" w:line="360" w:lineRule="auto"/>
        <w:rPr>
          <w:rFonts w:ascii="仿宋" w:hAnsi="仿宋" w:eastAsia="仿宋"/>
          <w:sz w:val="28"/>
          <w:szCs w:val="28"/>
        </w:rPr>
      </w:pPr>
    </w:p>
    <w:p>
      <w:pPr>
        <w:spacing w:after="156" w:afterLines="50" w:line="360" w:lineRule="auto"/>
        <w:rPr>
          <w:rFonts w:ascii="仿宋" w:hAnsi="仿宋" w:eastAsia="仿宋"/>
          <w:sz w:val="28"/>
          <w:szCs w:val="28"/>
        </w:rPr>
      </w:pPr>
    </w:p>
    <w:p>
      <w:pPr>
        <w:spacing w:after="156" w:afterLines="50" w:line="360" w:lineRule="auto"/>
        <w:rPr>
          <w:rFonts w:ascii="仿宋" w:hAnsi="仿宋" w:eastAsia="仿宋"/>
          <w:sz w:val="28"/>
          <w:szCs w:val="28"/>
        </w:rPr>
      </w:pPr>
    </w:p>
    <w:p>
      <w:pPr>
        <w:spacing w:line="360" w:lineRule="auto"/>
        <w:rPr>
          <w:rFonts w:hint="eastAsia" w:ascii="仿宋" w:hAnsi="仿宋" w:eastAsia="仿宋"/>
          <w:sz w:val="28"/>
          <w:szCs w:val="28"/>
        </w:rPr>
      </w:pPr>
    </w:p>
    <w:p>
      <w:pPr>
        <w:spacing w:line="360" w:lineRule="auto"/>
        <w:rPr>
          <w:rFonts w:hint="eastAsia" w:ascii="仿宋" w:hAnsi="仿宋" w:eastAsia="仿宋"/>
          <w:sz w:val="28"/>
          <w:szCs w:val="28"/>
        </w:rPr>
      </w:pPr>
    </w:p>
    <w:p>
      <w:pPr>
        <w:spacing w:line="360" w:lineRule="auto"/>
        <w:rPr>
          <w:rFonts w:hint="eastAsia"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5</w:t>
      </w:r>
    </w:p>
    <w:p>
      <w:pPr>
        <w:spacing w:before="156" w:beforeLines="50" w:line="360" w:lineRule="auto"/>
        <w:jc w:val="center"/>
        <w:rPr>
          <w:rFonts w:ascii="黑体" w:hAnsi="黑体" w:eastAsia="黑体"/>
          <w:b/>
          <w:bCs/>
          <w:sz w:val="30"/>
          <w:szCs w:val="30"/>
        </w:rPr>
      </w:pPr>
      <w:r>
        <w:rPr>
          <w:rFonts w:hint="eastAsia" w:ascii="黑体" w:hAnsi="黑体" w:eastAsia="黑体"/>
          <w:b/>
          <w:bCs/>
          <w:sz w:val="30"/>
          <w:szCs w:val="30"/>
        </w:rPr>
        <w:t>上海市第二轮郊区学校精准委托管理绩效评估</w:t>
      </w:r>
    </w:p>
    <w:p>
      <w:pPr>
        <w:spacing w:after="156" w:afterLines="50" w:line="360" w:lineRule="auto"/>
        <w:jc w:val="center"/>
        <w:rPr>
          <w:rFonts w:ascii="黑体" w:hAnsi="黑体" w:eastAsia="黑体"/>
          <w:b/>
          <w:bCs/>
          <w:sz w:val="30"/>
          <w:szCs w:val="30"/>
        </w:rPr>
      </w:pPr>
      <w:r>
        <w:rPr>
          <w:rFonts w:hint="eastAsia" w:ascii="黑体" w:hAnsi="黑体" w:eastAsia="黑体"/>
          <w:b/>
          <w:bCs/>
          <w:sz w:val="30"/>
          <w:szCs w:val="30"/>
        </w:rPr>
        <w:t>课堂教学评价意见表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6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left"/>
              <w:rPr>
                <w:rFonts w:ascii="仿宋" w:hAnsi="仿宋" w:eastAsia="仿宋"/>
                <w:sz w:val="28"/>
                <w:szCs w:val="28"/>
              </w:rPr>
            </w:pPr>
            <w:r>
              <w:rPr>
                <w:rFonts w:hint="eastAsia" w:ascii="仿宋" w:hAnsi="仿宋" w:eastAsia="仿宋"/>
                <w:sz w:val="28"/>
                <w:szCs w:val="28"/>
              </w:rPr>
              <w:t>学校名称</w:t>
            </w:r>
          </w:p>
        </w:tc>
        <w:tc>
          <w:tcPr>
            <w:tcW w:w="6883" w:type="dxa"/>
          </w:tcPr>
          <w:p>
            <w:pPr>
              <w:spacing w:line="360" w:lineRule="auto"/>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left"/>
              <w:rPr>
                <w:rFonts w:ascii="仿宋" w:hAnsi="仿宋" w:eastAsia="仿宋"/>
                <w:sz w:val="28"/>
                <w:szCs w:val="28"/>
              </w:rPr>
            </w:pPr>
            <w:r>
              <w:rPr>
                <w:rFonts w:hint="eastAsia" w:ascii="仿宋" w:hAnsi="仿宋" w:eastAsia="仿宋"/>
                <w:sz w:val="28"/>
                <w:szCs w:val="28"/>
              </w:rPr>
              <w:t>支援单位</w:t>
            </w:r>
          </w:p>
        </w:tc>
        <w:tc>
          <w:tcPr>
            <w:tcW w:w="6883" w:type="dxa"/>
          </w:tcPr>
          <w:p>
            <w:pPr>
              <w:spacing w:line="360" w:lineRule="auto"/>
              <w:jc w:val="lef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Pr>
          <w:p>
            <w:pPr>
              <w:spacing w:line="360" w:lineRule="auto"/>
              <w:jc w:val="left"/>
              <w:rPr>
                <w:rFonts w:ascii="仿宋" w:hAnsi="仿宋" w:eastAsia="仿宋"/>
                <w:sz w:val="28"/>
                <w:szCs w:val="28"/>
              </w:rPr>
            </w:pPr>
            <w:r>
              <w:rPr>
                <w:rFonts w:hint="eastAsia" w:ascii="仿宋" w:hAnsi="仿宋" w:eastAsia="仿宋"/>
                <w:sz w:val="28"/>
                <w:szCs w:val="28"/>
              </w:rPr>
              <w:t>听课数量</w:t>
            </w:r>
          </w:p>
        </w:tc>
        <w:tc>
          <w:tcPr>
            <w:tcW w:w="6883" w:type="dxa"/>
          </w:tcPr>
          <w:p>
            <w:pPr>
              <w:spacing w:line="360" w:lineRule="auto"/>
              <w:jc w:val="left"/>
              <w:rPr>
                <w:rFonts w:ascii="仿宋" w:hAnsi="仿宋" w:eastAsia="仿宋"/>
                <w:sz w:val="28"/>
                <w:szCs w:val="28"/>
              </w:rPr>
            </w:pP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 w:hAnsi="仿宋" w:eastAsia="仿宋"/>
                <w:sz w:val="28"/>
                <w:szCs w:val="28"/>
              </w:rPr>
              <w:t>节</w:t>
            </w:r>
            <w:r>
              <w:rPr>
                <w:rFonts w:hint="eastAsia" w:ascii="仿宋" w:hAnsi="仿宋" w:eastAsia="仿宋"/>
                <w:sz w:val="24"/>
                <w:szCs w:val="24"/>
              </w:rPr>
              <w:t>（需附听课记录表，见附件6）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8296" w:type="dxa"/>
            <w:gridSpan w:val="2"/>
          </w:tcPr>
          <w:p>
            <w:pPr>
              <w:widowControl/>
              <w:spacing w:line="360" w:lineRule="auto"/>
              <w:rPr>
                <w:rFonts w:ascii="仿宋" w:hAnsi="仿宋" w:eastAsia="仿宋"/>
                <w:sz w:val="24"/>
                <w:szCs w:val="24"/>
              </w:rPr>
            </w:pPr>
            <w:r>
              <w:rPr>
                <w:rFonts w:hint="eastAsia" w:ascii="仿宋" w:hAnsi="仿宋" w:eastAsia="仿宋"/>
                <w:sz w:val="28"/>
                <w:szCs w:val="28"/>
              </w:rPr>
              <w:t>课堂教学评价意见：</w:t>
            </w:r>
            <w:r>
              <w:rPr>
                <w:rFonts w:hint="eastAsia" w:ascii="仿宋" w:hAnsi="仿宋" w:eastAsia="仿宋"/>
                <w:sz w:val="24"/>
                <w:szCs w:val="24"/>
              </w:rPr>
              <w:t>（含教学设计、师生互动以及教学效果等方面，8</w:t>
            </w:r>
            <w:r>
              <w:rPr>
                <w:rFonts w:ascii="仿宋" w:hAnsi="仿宋" w:eastAsia="仿宋"/>
                <w:sz w:val="24"/>
                <w:szCs w:val="24"/>
              </w:rPr>
              <w:t>00</w:t>
            </w:r>
            <w:r>
              <w:rPr>
                <w:rFonts w:hint="eastAsia" w:ascii="仿宋" w:hAnsi="仿宋" w:eastAsia="仿宋"/>
                <w:sz w:val="24"/>
                <w:szCs w:val="24"/>
              </w:rPr>
              <w:t>字左右）</w:t>
            </w: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jc w:val="left"/>
              <w:rPr>
                <w:rFonts w:ascii="仿宋" w:hAnsi="仿宋" w:eastAsia="仿宋"/>
                <w:sz w:val="28"/>
                <w:szCs w:val="28"/>
              </w:rPr>
            </w:pPr>
          </w:p>
          <w:p>
            <w:pPr>
              <w:spacing w:line="360" w:lineRule="auto"/>
              <w:ind w:right="1960"/>
              <w:rPr>
                <w:rFonts w:ascii="仿宋" w:hAnsi="仿宋" w:eastAsia="仿宋"/>
                <w:sz w:val="28"/>
                <w:szCs w:val="28"/>
              </w:rPr>
            </w:pPr>
          </w:p>
          <w:p>
            <w:pPr>
              <w:spacing w:line="360" w:lineRule="auto"/>
              <w:ind w:firstLine="560" w:firstLineChars="200"/>
              <w:jc w:val="right"/>
              <w:rPr>
                <w:rFonts w:ascii="仿宋" w:hAnsi="仿宋" w:eastAsia="仿宋"/>
                <w:sz w:val="28"/>
                <w:szCs w:val="28"/>
              </w:rPr>
            </w:pPr>
          </w:p>
          <w:p>
            <w:pPr>
              <w:spacing w:line="360" w:lineRule="auto"/>
              <w:ind w:firstLine="560" w:firstLineChars="200"/>
              <w:jc w:val="right"/>
              <w:rPr>
                <w:rFonts w:ascii="仿宋" w:hAnsi="仿宋" w:eastAsia="仿宋"/>
                <w:sz w:val="28"/>
                <w:szCs w:val="28"/>
              </w:rPr>
            </w:pPr>
            <w:r>
              <w:rPr>
                <w:rFonts w:ascii="仿宋" w:hAnsi="仿宋" w:eastAsia="仿宋"/>
                <w:sz w:val="28"/>
                <w:szCs w:val="28"/>
              </w:rPr>
              <w:t>XX区教育局</w:t>
            </w:r>
            <w:r>
              <w:rPr>
                <w:rFonts w:hint="eastAsia" w:ascii="仿宋" w:hAnsi="仿宋" w:eastAsia="仿宋"/>
                <w:sz w:val="28"/>
                <w:szCs w:val="28"/>
              </w:rPr>
              <w:t>（盖章）</w:t>
            </w:r>
          </w:p>
          <w:p>
            <w:pPr>
              <w:spacing w:line="360" w:lineRule="auto"/>
              <w:ind w:firstLine="560" w:firstLineChars="200"/>
              <w:jc w:val="right"/>
              <w:rPr>
                <w:rFonts w:ascii="仿宋" w:hAnsi="仿宋" w:eastAsia="仿宋" w:cs="仿宋"/>
                <w:sz w:val="28"/>
                <w:szCs w:val="28"/>
              </w:rPr>
            </w:pP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 xml:space="preserve">月 </w:t>
            </w:r>
            <w:r>
              <w:rPr>
                <w:rFonts w:ascii="仿宋" w:hAnsi="仿宋" w:eastAsia="仿宋" w:cs="仿宋"/>
                <w:sz w:val="28"/>
                <w:szCs w:val="28"/>
              </w:rPr>
              <w:t xml:space="preserve"> </w:t>
            </w:r>
            <w:r>
              <w:rPr>
                <w:rFonts w:hint="eastAsia" w:ascii="仿宋" w:hAnsi="仿宋" w:eastAsia="仿宋" w:cs="仿宋"/>
                <w:sz w:val="28"/>
                <w:szCs w:val="28"/>
              </w:rPr>
              <w:t>日</w:t>
            </w:r>
          </w:p>
        </w:tc>
      </w:tr>
    </w:tbl>
    <w:p>
      <w:pPr>
        <w:spacing w:line="360" w:lineRule="auto"/>
        <w:ind w:right="1120"/>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6</w:t>
      </w:r>
    </w:p>
    <w:p>
      <w:pPr>
        <w:spacing w:before="312" w:beforeLines="100" w:after="312" w:afterLines="100" w:line="360" w:lineRule="auto"/>
        <w:jc w:val="center"/>
        <w:rPr>
          <w:rFonts w:ascii="黑体" w:hAnsi="黑体" w:eastAsia="黑体"/>
          <w:b/>
          <w:bCs/>
          <w:sz w:val="30"/>
          <w:szCs w:val="30"/>
        </w:rPr>
      </w:pPr>
      <w:r>
        <w:rPr>
          <w:rFonts w:hint="eastAsia" w:ascii="黑体" w:hAnsi="黑体" w:eastAsia="黑体"/>
          <w:b/>
          <w:bCs/>
          <w:sz w:val="30"/>
          <w:szCs w:val="30"/>
        </w:rPr>
        <w:t>听课记录表</w:t>
      </w:r>
    </w:p>
    <w:p>
      <w:pPr>
        <w:widowControl/>
        <w:rPr>
          <w:rFonts w:ascii="仿宋" w:hAnsi="仿宋" w:eastAsia="仿宋"/>
          <w:sz w:val="28"/>
          <w:szCs w:val="28"/>
        </w:rPr>
      </w:pPr>
      <w:r>
        <w:rPr>
          <w:rFonts w:hint="eastAsia" w:ascii="仿宋" w:hAnsi="仿宋" w:eastAsia="仿宋"/>
          <w:sz w:val="28"/>
          <w:szCs w:val="28"/>
        </w:rPr>
        <w:t xml:space="preserve">学校名称： </w:t>
      </w:r>
      <w:r>
        <w:rPr>
          <w:rFonts w:ascii="仿宋" w:hAnsi="仿宋" w:eastAsia="仿宋"/>
          <w:sz w:val="28"/>
          <w:szCs w:val="28"/>
        </w:rPr>
        <w:t xml:space="preserve">                    </w:t>
      </w:r>
      <w:r>
        <w:rPr>
          <w:rFonts w:hint="eastAsia" w:ascii="仿宋" w:hAnsi="仿宋" w:eastAsia="仿宋"/>
          <w:sz w:val="28"/>
          <w:szCs w:val="28"/>
        </w:rPr>
        <w:t>听课班级：</w:t>
      </w:r>
    </w:p>
    <w:p>
      <w:pPr>
        <w:widowControl/>
        <w:rPr>
          <w:rFonts w:ascii="仿宋" w:hAnsi="仿宋" w:eastAsia="仿宋"/>
          <w:sz w:val="28"/>
          <w:szCs w:val="28"/>
        </w:rPr>
      </w:pPr>
      <w:r>
        <w:rPr>
          <w:rFonts w:hint="eastAsia" w:ascii="仿宋" w:hAnsi="仿宋" w:eastAsia="仿宋"/>
          <w:sz w:val="28"/>
          <w:szCs w:val="28"/>
        </w:rPr>
        <w:t xml:space="preserve">授课教师： </w:t>
      </w:r>
      <w:r>
        <w:rPr>
          <w:rFonts w:ascii="仿宋" w:hAnsi="仿宋" w:eastAsia="仿宋"/>
          <w:sz w:val="28"/>
          <w:szCs w:val="28"/>
        </w:rPr>
        <w:t xml:space="preserve">                    </w:t>
      </w:r>
      <w:r>
        <w:rPr>
          <w:rFonts w:hint="eastAsia" w:ascii="仿宋" w:hAnsi="仿宋" w:eastAsia="仿宋"/>
          <w:sz w:val="28"/>
          <w:szCs w:val="28"/>
        </w:rPr>
        <w:t>学科名称：</w:t>
      </w:r>
    </w:p>
    <w:p>
      <w:pPr>
        <w:widowControl/>
        <w:rPr>
          <w:rFonts w:ascii="仿宋" w:hAnsi="仿宋" w:eastAsia="仿宋"/>
          <w:sz w:val="28"/>
          <w:szCs w:val="28"/>
        </w:rPr>
      </w:pPr>
      <w:r>
        <w:rPr>
          <w:rFonts w:hint="eastAsia" w:ascii="仿宋" w:hAnsi="仿宋" w:eastAsia="仿宋"/>
          <w:sz w:val="28"/>
          <w:szCs w:val="28"/>
        </w:rPr>
        <w:t>课堂内容：</w:t>
      </w:r>
    </w:p>
    <w:tbl>
      <w:tblPr>
        <w:tblStyle w:val="14"/>
        <w:tblW w:w="84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4"/>
        <w:gridCol w:w="1417"/>
        <w:gridCol w:w="966"/>
        <w:gridCol w:w="964"/>
        <w:gridCol w:w="964"/>
        <w:gridCol w:w="964"/>
        <w:gridCol w:w="2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844" w:type="dxa"/>
            <w:vAlign w:val="center"/>
          </w:tcPr>
          <w:p>
            <w:pPr>
              <w:widowControl/>
              <w:jc w:val="center"/>
              <w:rPr>
                <w:rFonts w:ascii="仿宋" w:hAnsi="仿宋" w:eastAsia="仿宋"/>
                <w:b/>
                <w:bCs/>
                <w:sz w:val="28"/>
                <w:szCs w:val="28"/>
              </w:rPr>
            </w:pPr>
            <w:r>
              <w:rPr>
                <w:rFonts w:hint="eastAsia" w:ascii="仿宋" w:hAnsi="仿宋" w:eastAsia="仿宋"/>
                <w:b/>
                <w:bCs/>
                <w:sz w:val="28"/>
                <w:szCs w:val="28"/>
              </w:rPr>
              <w:t>序号</w:t>
            </w:r>
          </w:p>
        </w:tc>
        <w:tc>
          <w:tcPr>
            <w:tcW w:w="1417" w:type="dxa"/>
            <w:vAlign w:val="center"/>
          </w:tcPr>
          <w:p>
            <w:pPr>
              <w:widowControl/>
              <w:jc w:val="center"/>
              <w:rPr>
                <w:rFonts w:ascii="仿宋" w:hAnsi="仿宋" w:eastAsia="仿宋"/>
                <w:b/>
                <w:bCs/>
                <w:sz w:val="28"/>
                <w:szCs w:val="28"/>
              </w:rPr>
            </w:pPr>
            <w:r>
              <w:rPr>
                <w:rFonts w:hint="eastAsia" w:ascii="仿宋" w:hAnsi="仿宋" w:eastAsia="仿宋"/>
                <w:b/>
                <w:bCs/>
                <w:sz w:val="28"/>
                <w:szCs w:val="28"/>
              </w:rPr>
              <w:t>评估内容</w:t>
            </w:r>
          </w:p>
        </w:tc>
        <w:tc>
          <w:tcPr>
            <w:tcW w:w="966" w:type="dxa"/>
            <w:vAlign w:val="center"/>
          </w:tcPr>
          <w:p>
            <w:pPr>
              <w:widowControl/>
              <w:jc w:val="center"/>
              <w:rPr>
                <w:rFonts w:ascii="仿宋" w:hAnsi="仿宋" w:eastAsia="仿宋"/>
                <w:b/>
                <w:bCs/>
                <w:sz w:val="28"/>
                <w:szCs w:val="28"/>
              </w:rPr>
            </w:pPr>
            <w:r>
              <w:rPr>
                <w:rFonts w:hint="eastAsia" w:ascii="仿宋" w:hAnsi="仿宋" w:eastAsia="仿宋"/>
                <w:b/>
                <w:bCs/>
                <w:sz w:val="28"/>
                <w:szCs w:val="28"/>
              </w:rPr>
              <w:t>优</w:t>
            </w:r>
          </w:p>
        </w:tc>
        <w:tc>
          <w:tcPr>
            <w:tcW w:w="964" w:type="dxa"/>
            <w:vAlign w:val="center"/>
          </w:tcPr>
          <w:p>
            <w:pPr>
              <w:widowControl/>
              <w:jc w:val="center"/>
              <w:rPr>
                <w:rFonts w:ascii="仿宋" w:hAnsi="仿宋" w:eastAsia="仿宋"/>
                <w:b/>
                <w:bCs/>
                <w:sz w:val="28"/>
                <w:szCs w:val="28"/>
              </w:rPr>
            </w:pPr>
            <w:r>
              <w:rPr>
                <w:rFonts w:hint="eastAsia" w:ascii="仿宋" w:hAnsi="仿宋" w:eastAsia="仿宋"/>
                <w:b/>
                <w:bCs/>
                <w:sz w:val="28"/>
                <w:szCs w:val="28"/>
              </w:rPr>
              <w:t>良</w:t>
            </w:r>
          </w:p>
        </w:tc>
        <w:tc>
          <w:tcPr>
            <w:tcW w:w="964" w:type="dxa"/>
            <w:vAlign w:val="center"/>
          </w:tcPr>
          <w:p>
            <w:pPr>
              <w:widowControl/>
              <w:jc w:val="center"/>
              <w:rPr>
                <w:rFonts w:ascii="仿宋" w:hAnsi="仿宋" w:eastAsia="仿宋"/>
                <w:b/>
                <w:bCs/>
                <w:sz w:val="28"/>
                <w:szCs w:val="28"/>
              </w:rPr>
            </w:pPr>
            <w:r>
              <w:rPr>
                <w:rFonts w:hint="eastAsia" w:ascii="仿宋" w:hAnsi="仿宋" w:eastAsia="仿宋"/>
                <w:b/>
                <w:bCs/>
                <w:sz w:val="28"/>
                <w:szCs w:val="28"/>
              </w:rPr>
              <w:t>中</w:t>
            </w:r>
          </w:p>
        </w:tc>
        <w:tc>
          <w:tcPr>
            <w:tcW w:w="964" w:type="dxa"/>
            <w:vAlign w:val="center"/>
          </w:tcPr>
          <w:p>
            <w:pPr>
              <w:widowControl/>
              <w:jc w:val="center"/>
              <w:rPr>
                <w:rFonts w:ascii="仿宋" w:hAnsi="仿宋" w:eastAsia="仿宋"/>
                <w:b/>
                <w:bCs/>
                <w:sz w:val="28"/>
                <w:szCs w:val="28"/>
              </w:rPr>
            </w:pPr>
            <w:r>
              <w:rPr>
                <w:rFonts w:hint="eastAsia" w:ascii="仿宋" w:hAnsi="仿宋" w:eastAsia="仿宋"/>
                <w:b/>
                <w:bCs/>
                <w:sz w:val="28"/>
                <w:szCs w:val="28"/>
              </w:rPr>
              <w:t>差</w:t>
            </w:r>
          </w:p>
        </w:tc>
        <w:tc>
          <w:tcPr>
            <w:tcW w:w="2347" w:type="dxa"/>
            <w:vAlign w:val="center"/>
          </w:tcPr>
          <w:p>
            <w:pPr>
              <w:widowControl/>
              <w:jc w:val="center"/>
              <w:rPr>
                <w:rFonts w:ascii="仿宋" w:hAnsi="仿宋" w:eastAsia="仿宋"/>
                <w:b/>
                <w:bCs/>
                <w:sz w:val="28"/>
                <w:szCs w:val="28"/>
              </w:rPr>
            </w:pPr>
            <w:r>
              <w:rPr>
                <w:rFonts w:hint="eastAsia" w:ascii="仿宋" w:hAnsi="仿宋" w:eastAsia="仿宋"/>
                <w:b/>
                <w:bCs/>
                <w:sz w:val="28"/>
                <w:szCs w:val="28"/>
              </w:rPr>
              <w:t>简要评语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jc w:val="center"/>
              <w:rPr>
                <w:rFonts w:ascii="仿宋" w:hAnsi="仿宋" w:eastAsia="仿宋"/>
                <w:sz w:val="28"/>
                <w:szCs w:val="28"/>
              </w:rPr>
            </w:pPr>
            <w:r>
              <w:rPr>
                <w:rFonts w:hint="eastAsia" w:ascii="仿宋" w:hAnsi="仿宋" w:eastAsia="仿宋"/>
                <w:sz w:val="28"/>
                <w:szCs w:val="28"/>
              </w:rPr>
              <w:t>1</w:t>
            </w:r>
          </w:p>
        </w:tc>
        <w:tc>
          <w:tcPr>
            <w:tcW w:w="1417" w:type="dxa"/>
            <w:vAlign w:val="center"/>
          </w:tcPr>
          <w:p>
            <w:pPr>
              <w:widowControl/>
              <w:jc w:val="center"/>
              <w:rPr>
                <w:rFonts w:ascii="仿宋" w:hAnsi="仿宋" w:eastAsia="仿宋"/>
                <w:sz w:val="28"/>
                <w:szCs w:val="28"/>
              </w:rPr>
            </w:pPr>
            <w:r>
              <w:rPr>
                <w:rFonts w:hint="eastAsia" w:ascii="仿宋" w:hAnsi="仿宋" w:eastAsia="仿宋"/>
                <w:sz w:val="28"/>
                <w:szCs w:val="28"/>
              </w:rPr>
              <w:t>教学设计</w:t>
            </w:r>
          </w:p>
        </w:tc>
        <w:tc>
          <w:tcPr>
            <w:tcW w:w="966" w:type="dxa"/>
            <w:vAlign w:val="center"/>
          </w:tcPr>
          <w:p>
            <w:pPr>
              <w:widowControl/>
              <w:jc w:val="center"/>
              <w:rPr>
                <w:rFonts w:ascii="仿宋" w:hAnsi="仿宋" w:eastAsia="仿宋"/>
                <w:sz w:val="28"/>
                <w:szCs w:val="28"/>
              </w:rPr>
            </w:pPr>
          </w:p>
        </w:tc>
        <w:tc>
          <w:tcPr>
            <w:tcW w:w="964" w:type="dxa"/>
            <w:vAlign w:val="center"/>
          </w:tcPr>
          <w:p>
            <w:pPr>
              <w:widowControl/>
              <w:jc w:val="center"/>
              <w:rPr>
                <w:rFonts w:ascii="仿宋" w:hAnsi="仿宋" w:eastAsia="仿宋"/>
                <w:sz w:val="28"/>
                <w:szCs w:val="28"/>
              </w:rPr>
            </w:pPr>
          </w:p>
        </w:tc>
        <w:tc>
          <w:tcPr>
            <w:tcW w:w="964" w:type="dxa"/>
            <w:vAlign w:val="center"/>
          </w:tcPr>
          <w:p>
            <w:pPr>
              <w:widowControl/>
              <w:jc w:val="center"/>
              <w:rPr>
                <w:rFonts w:ascii="仿宋" w:hAnsi="仿宋" w:eastAsia="仿宋"/>
                <w:sz w:val="28"/>
                <w:szCs w:val="28"/>
              </w:rPr>
            </w:pPr>
          </w:p>
        </w:tc>
        <w:tc>
          <w:tcPr>
            <w:tcW w:w="964" w:type="dxa"/>
            <w:vAlign w:val="center"/>
          </w:tcPr>
          <w:p>
            <w:pPr>
              <w:widowControl/>
              <w:jc w:val="center"/>
              <w:rPr>
                <w:rFonts w:ascii="仿宋" w:hAnsi="仿宋" w:eastAsia="仿宋"/>
                <w:sz w:val="28"/>
                <w:szCs w:val="28"/>
              </w:rPr>
            </w:pPr>
          </w:p>
        </w:tc>
        <w:tc>
          <w:tcPr>
            <w:tcW w:w="2347" w:type="dxa"/>
            <w:vAlign w:val="center"/>
          </w:tcPr>
          <w:p>
            <w:pPr>
              <w:widowControl/>
              <w:jc w:val="center"/>
              <w:rPr>
                <w:rFonts w:ascii="仿宋" w:hAnsi="仿宋" w:eastAsia="仿宋"/>
                <w:sz w:val="28"/>
                <w:szCs w:val="28"/>
              </w:rPr>
            </w:pPr>
          </w:p>
          <w:p>
            <w:pPr>
              <w:widowControl/>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jc w:val="center"/>
              <w:rPr>
                <w:rFonts w:ascii="仿宋" w:hAnsi="仿宋" w:eastAsia="仿宋"/>
                <w:sz w:val="28"/>
                <w:szCs w:val="28"/>
              </w:rPr>
            </w:pPr>
            <w:r>
              <w:rPr>
                <w:rFonts w:hint="eastAsia" w:ascii="仿宋" w:hAnsi="仿宋" w:eastAsia="仿宋"/>
                <w:sz w:val="28"/>
                <w:szCs w:val="28"/>
              </w:rPr>
              <w:t>2</w:t>
            </w:r>
          </w:p>
        </w:tc>
        <w:tc>
          <w:tcPr>
            <w:tcW w:w="1417" w:type="dxa"/>
            <w:vAlign w:val="center"/>
          </w:tcPr>
          <w:p>
            <w:pPr>
              <w:widowControl/>
              <w:jc w:val="center"/>
              <w:rPr>
                <w:rFonts w:ascii="仿宋" w:hAnsi="仿宋" w:eastAsia="仿宋"/>
                <w:sz w:val="28"/>
                <w:szCs w:val="28"/>
              </w:rPr>
            </w:pPr>
            <w:r>
              <w:rPr>
                <w:rFonts w:hint="eastAsia" w:ascii="仿宋" w:hAnsi="仿宋" w:eastAsia="仿宋"/>
                <w:sz w:val="28"/>
                <w:szCs w:val="28"/>
              </w:rPr>
              <w:t>教学实施</w:t>
            </w:r>
          </w:p>
        </w:tc>
        <w:tc>
          <w:tcPr>
            <w:tcW w:w="966" w:type="dxa"/>
            <w:vAlign w:val="center"/>
          </w:tcPr>
          <w:p>
            <w:pPr>
              <w:widowControl/>
              <w:jc w:val="center"/>
              <w:rPr>
                <w:rFonts w:ascii="仿宋" w:hAnsi="仿宋" w:eastAsia="仿宋"/>
                <w:sz w:val="28"/>
                <w:szCs w:val="28"/>
              </w:rPr>
            </w:pPr>
          </w:p>
        </w:tc>
        <w:tc>
          <w:tcPr>
            <w:tcW w:w="964" w:type="dxa"/>
            <w:vAlign w:val="center"/>
          </w:tcPr>
          <w:p>
            <w:pPr>
              <w:widowControl/>
              <w:jc w:val="center"/>
              <w:rPr>
                <w:rFonts w:ascii="仿宋" w:hAnsi="仿宋" w:eastAsia="仿宋"/>
                <w:sz w:val="28"/>
                <w:szCs w:val="28"/>
              </w:rPr>
            </w:pPr>
          </w:p>
        </w:tc>
        <w:tc>
          <w:tcPr>
            <w:tcW w:w="964" w:type="dxa"/>
            <w:vAlign w:val="center"/>
          </w:tcPr>
          <w:p>
            <w:pPr>
              <w:widowControl/>
              <w:jc w:val="center"/>
              <w:rPr>
                <w:rFonts w:ascii="仿宋" w:hAnsi="仿宋" w:eastAsia="仿宋"/>
                <w:sz w:val="28"/>
                <w:szCs w:val="28"/>
              </w:rPr>
            </w:pPr>
          </w:p>
        </w:tc>
        <w:tc>
          <w:tcPr>
            <w:tcW w:w="964" w:type="dxa"/>
            <w:vAlign w:val="center"/>
          </w:tcPr>
          <w:p>
            <w:pPr>
              <w:widowControl/>
              <w:jc w:val="center"/>
              <w:rPr>
                <w:rFonts w:ascii="仿宋" w:hAnsi="仿宋" w:eastAsia="仿宋"/>
                <w:sz w:val="28"/>
                <w:szCs w:val="28"/>
              </w:rPr>
            </w:pPr>
          </w:p>
        </w:tc>
        <w:tc>
          <w:tcPr>
            <w:tcW w:w="2347" w:type="dxa"/>
            <w:vAlign w:val="center"/>
          </w:tcPr>
          <w:p>
            <w:pPr>
              <w:widowControl/>
              <w:jc w:val="center"/>
              <w:rPr>
                <w:rFonts w:ascii="仿宋" w:hAnsi="仿宋" w:eastAsia="仿宋"/>
                <w:sz w:val="28"/>
                <w:szCs w:val="28"/>
              </w:rPr>
            </w:pPr>
          </w:p>
          <w:p>
            <w:pPr>
              <w:widowControl/>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4" w:type="dxa"/>
            <w:vAlign w:val="center"/>
          </w:tcPr>
          <w:p>
            <w:pPr>
              <w:widowControl/>
              <w:jc w:val="center"/>
              <w:rPr>
                <w:rFonts w:ascii="仿宋" w:hAnsi="仿宋" w:eastAsia="仿宋"/>
                <w:sz w:val="28"/>
                <w:szCs w:val="28"/>
              </w:rPr>
            </w:pPr>
            <w:r>
              <w:rPr>
                <w:rFonts w:hint="eastAsia" w:ascii="仿宋" w:hAnsi="仿宋" w:eastAsia="仿宋"/>
                <w:sz w:val="28"/>
                <w:szCs w:val="28"/>
              </w:rPr>
              <w:t>3</w:t>
            </w:r>
          </w:p>
        </w:tc>
        <w:tc>
          <w:tcPr>
            <w:tcW w:w="1417" w:type="dxa"/>
            <w:vAlign w:val="center"/>
          </w:tcPr>
          <w:p>
            <w:pPr>
              <w:widowControl/>
              <w:jc w:val="center"/>
              <w:rPr>
                <w:rFonts w:ascii="仿宋" w:hAnsi="仿宋" w:eastAsia="仿宋"/>
                <w:sz w:val="28"/>
                <w:szCs w:val="28"/>
              </w:rPr>
            </w:pPr>
            <w:r>
              <w:rPr>
                <w:rFonts w:hint="eastAsia" w:ascii="仿宋" w:hAnsi="仿宋" w:eastAsia="仿宋"/>
                <w:sz w:val="28"/>
                <w:szCs w:val="28"/>
              </w:rPr>
              <w:t>教学效果</w:t>
            </w:r>
          </w:p>
        </w:tc>
        <w:tc>
          <w:tcPr>
            <w:tcW w:w="966" w:type="dxa"/>
            <w:vAlign w:val="center"/>
          </w:tcPr>
          <w:p>
            <w:pPr>
              <w:widowControl/>
              <w:jc w:val="center"/>
              <w:rPr>
                <w:rFonts w:ascii="仿宋" w:hAnsi="仿宋" w:eastAsia="仿宋"/>
                <w:sz w:val="28"/>
                <w:szCs w:val="28"/>
              </w:rPr>
            </w:pPr>
          </w:p>
        </w:tc>
        <w:tc>
          <w:tcPr>
            <w:tcW w:w="964" w:type="dxa"/>
            <w:vAlign w:val="center"/>
          </w:tcPr>
          <w:p>
            <w:pPr>
              <w:widowControl/>
              <w:jc w:val="center"/>
              <w:rPr>
                <w:rFonts w:ascii="仿宋" w:hAnsi="仿宋" w:eastAsia="仿宋"/>
                <w:sz w:val="28"/>
                <w:szCs w:val="28"/>
              </w:rPr>
            </w:pPr>
          </w:p>
        </w:tc>
        <w:tc>
          <w:tcPr>
            <w:tcW w:w="964" w:type="dxa"/>
            <w:vAlign w:val="center"/>
          </w:tcPr>
          <w:p>
            <w:pPr>
              <w:widowControl/>
              <w:jc w:val="center"/>
              <w:rPr>
                <w:rFonts w:ascii="仿宋" w:hAnsi="仿宋" w:eastAsia="仿宋"/>
                <w:sz w:val="28"/>
                <w:szCs w:val="28"/>
              </w:rPr>
            </w:pPr>
          </w:p>
        </w:tc>
        <w:tc>
          <w:tcPr>
            <w:tcW w:w="964" w:type="dxa"/>
            <w:vAlign w:val="center"/>
          </w:tcPr>
          <w:p>
            <w:pPr>
              <w:widowControl/>
              <w:jc w:val="center"/>
              <w:rPr>
                <w:rFonts w:ascii="仿宋" w:hAnsi="仿宋" w:eastAsia="仿宋"/>
                <w:sz w:val="28"/>
                <w:szCs w:val="28"/>
              </w:rPr>
            </w:pPr>
          </w:p>
        </w:tc>
        <w:tc>
          <w:tcPr>
            <w:tcW w:w="2347" w:type="dxa"/>
            <w:vAlign w:val="center"/>
          </w:tcPr>
          <w:p>
            <w:pPr>
              <w:widowControl/>
              <w:jc w:val="center"/>
              <w:rPr>
                <w:rFonts w:ascii="仿宋" w:hAnsi="仿宋" w:eastAsia="仿宋"/>
                <w:sz w:val="28"/>
                <w:szCs w:val="28"/>
              </w:rPr>
            </w:pPr>
          </w:p>
          <w:p>
            <w:pPr>
              <w:widowControl/>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2261" w:type="dxa"/>
            <w:gridSpan w:val="2"/>
            <w:vAlign w:val="center"/>
          </w:tcPr>
          <w:p>
            <w:pPr>
              <w:widowControl/>
              <w:jc w:val="center"/>
              <w:rPr>
                <w:rFonts w:ascii="仿宋" w:hAnsi="仿宋" w:eastAsia="仿宋"/>
                <w:sz w:val="28"/>
                <w:szCs w:val="28"/>
              </w:rPr>
            </w:pPr>
            <w:r>
              <w:rPr>
                <w:rFonts w:hint="eastAsia" w:ascii="仿宋" w:hAnsi="仿宋" w:eastAsia="仿宋"/>
                <w:sz w:val="28"/>
                <w:szCs w:val="28"/>
              </w:rPr>
              <w:t>总体评价</w:t>
            </w:r>
          </w:p>
        </w:tc>
        <w:tc>
          <w:tcPr>
            <w:tcW w:w="6205" w:type="dxa"/>
            <w:gridSpan w:val="5"/>
          </w:tcPr>
          <w:p>
            <w:pPr>
              <w:widowControl/>
              <w:rPr>
                <w:rFonts w:ascii="仿宋" w:hAnsi="仿宋" w:eastAsia="仿宋"/>
                <w:sz w:val="28"/>
                <w:szCs w:val="28"/>
              </w:rPr>
            </w:pPr>
            <w:r>
              <w:rPr>
                <w:rFonts w:hint="eastAsia" w:ascii="仿宋" w:hAnsi="仿宋" w:eastAsia="仿宋"/>
                <w:sz w:val="28"/>
                <w:szCs w:val="28"/>
              </w:rPr>
              <w:sym w:font="Webdings" w:char="F063"/>
            </w:r>
            <w:r>
              <w:rPr>
                <w:rFonts w:hint="eastAsia" w:ascii="仿宋" w:hAnsi="仿宋" w:eastAsia="仿宋"/>
                <w:sz w:val="28"/>
                <w:szCs w:val="28"/>
              </w:rPr>
              <w:t xml:space="preserve">好  </w:t>
            </w:r>
            <w:r>
              <w:rPr>
                <w:rFonts w:ascii="仿宋" w:hAnsi="仿宋" w:eastAsia="仿宋"/>
                <w:sz w:val="28"/>
                <w:szCs w:val="28"/>
              </w:rPr>
              <w:t xml:space="preserve"> </w:t>
            </w:r>
            <w:r>
              <w:rPr>
                <w:rFonts w:hint="eastAsia" w:ascii="仿宋" w:hAnsi="仿宋" w:eastAsia="仿宋"/>
                <w:sz w:val="28"/>
                <w:szCs w:val="28"/>
              </w:rPr>
              <w:sym w:font="Webdings" w:char="F063"/>
            </w:r>
            <w:r>
              <w:rPr>
                <w:rFonts w:hint="eastAsia" w:ascii="仿宋" w:hAnsi="仿宋" w:eastAsia="仿宋"/>
                <w:sz w:val="28"/>
                <w:szCs w:val="28"/>
              </w:rPr>
              <w:t xml:space="preserve">较好 </w:t>
            </w:r>
            <w:r>
              <w:rPr>
                <w:rFonts w:ascii="仿宋" w:hAnsi="仿宋" w:eastAsia="仿宋"/>
                <w:sz w:val="28"/>
                <w:szCs w:val="28"/>
              </w:rPr>
              <w:t xml:space="preserve">  </w:t>
            </w:r>
            <w:r>
              <w:rPr>
                <w:rFonts w:hint="eastAsia" w:ascii="仿宋" w:hAnsi="仿宋" w:eastAsia="仿宋"/>
                <w:sz w:val="28"/>
                <w:szCs w:val="28"/>
              </w:rPr>
              <w:sym w:font="Webdings" w:char="F063"/>
            </w:r>
            <w:r>
              <w:rPr>
                <w:rFonts w:hint="eastAsia" w:ascii="仿宋" w:hAnsi="仿宋" w:eastAsia="仿宋"/>
                <w:sz w:val="28"/>
                <w:szCs w:val="28"/>
              </w:rPr>
              <w:t xml:space="preserve">一般 </w:t>
            </w:r>
            <w:r>
              <w:rPr>
                <w:rFonts w:ascii="仿宋" w:hAnsi="仿宋" w:eastAsia="仿宋"/>
                <w:sz w:val="28"/>
                <w:szCs w:val="28"/>
              </w:rPr>
              <w:t xml:space="preserve"> </w:t>
            </w:r>
            <w:r>
              <w:rPr>
                <w:rFonts w:hint="eastAsia" w:ascii="仿宋" w:hAnsi="仿宋" w:eastAsia="仿宋"/>
                <w:sz w:val="28"/>
                <w:szCs w:val="28"/>
              </w:rPr>
              <w:t xml:space="preserve"> </w:t>
            </w:r>
            <w:r>
              <w:rPr>
                <w:rFonts w:hint="eastAsia" w:ascii="仿宋" w:hAnsi="仿宋" w:eastAsia="仿宋"/>
                <w:sz w:val="28"/>
                <w:szCs w:val="28"/>
              </w:rPr>
              <w:sym w:font="Webdings" w:char="F063"/>
            </w:r>
            <w:r>
              <w:rPr>
                <w:rFonts w:hint="eastAsia" w:ascii="仿宋" w:hAnsi="仿宋" w:eastAsia="仿宋"/>
                <w:sz w:val="28"/>
                <w:szCs w:val="28"/>
              </w:rPr>
              <w:t>较差</w:t>
            </w:r>
          </w:p>
          <w:p>
            <w:pPr>
              <w:widowControl/>
              <w:rPr>
                <w:rFonts w:ascii="仿宋" w:hAnsi="仿宋" w:eastAsia="仿宋"/>
                <w:sz w:val="28"/>
                <w:szCs w:val="28"/>
              </w:rPr>
            </w:pPr>
          </w:p>
          <w:p>
            <w:pPr>
              <w:widowControl/>
              <w:rPr>
                <w:rFonts w:ascii="仿宋" w:hAnsi="仿宋" w:eastAsia="仿宋"/>
                <w:sz w:val="28"/>
                <w:szCs w:val="28"/>
              </w:rPr>
            </w:pPr>
          </w:p>
          <w:p>
            <w:pPr>
              <w:widowControl/>
              <w:rPr>
                <w:rFonts w:ascii="仿宋" w:hAnsi="仿宋" w:eastAsia="仿宋"/>
                <w:sz w:val="28"/>
                <w:szCs w:val="28"/>
              </w:rPr>
            </w:pPr>
          </w:p>
        </w:tc>
      </w:tr>
    </w:tbl>
    <w:p>
      <w:pPr>
        <w:spacing w:before="156" w:beforeLines="50" w:line="360" w:lineRule="auto"/>
        <w:ind w:firstLine="560" w:firstLineChars="200"/>
        <w:jc w:val="left"/>
        <w:rPr>
          <w:rFonts w:ascii="仿宋" w:hAnsi="仿宋" w:eastAsia="仿宋"/>
          <w:sz w:val="28"/>
          <w:szCs w:val="28"/>
        </w:rPr>
      </w:pPr>
      <w:r>
        <w:rPr>
          <w:rFonts w:hint="eastAsia" w:ascii="仿宋" w:hAnsi="仿宋" w:eastAsia="仿宋"/>
          <w:sz w:val="28"/>
          <w:szCs w:val="28"/>
        </w:rPr>
        <w:t>听课专家姓名</w:t>
      </w:r>
      <w:r>
        <w:rPr>
          <w:rFonts w:ascii="仿宋" w:hAnsi="仿宋" w:eastAsia="仿宋"/>
          <w:sz w:val="28"/>
          <w:szCs w:val="28"/>
          <w:u w:val="single"/>
        </w:rPr>
        <w:t xml:space="preserve">          </w:t>
      </w:r>
      <w:r>
        <w:rPr>
          <w:rFonts w:hint="eastAsia" w:ascii="仿宋" w:hAnsi="仿宋" w:eastAsia="仿宋"/>
          <w:sz w:val="28"/>
          <w:szCs w:val="28"/>
        </w:rPr>
        <w:t>单位</w:t>
      </w:r>
      <w:r>
        <w:rPr>
          <w:rFonts w:ascii="仿宋" w:hAnsi="仿宋" w:eastAsia="仿宋"/>
          <w:sz w:val="28"/>
          <w:szCs w:val="28"/>
          <w:u w:val="single"/>
        </w:rPr>
        <w:t xml:space="preserve">            </w:t>
      </w:r>
      <w:r>
        <w:rPr>
          <w:rFonts w:hint="eastAsia" w:ascii="仿宋" w:hAnsi="仿宋" w:eastAsia="仿宋"/>
          <w:sz w:val="28"/>
          <w:szCs w:val="28"/>
        </w:rPr>
        <w:t>职称</w:t>
      </w:r>
      <w:r>
        <w:rPr>
          <w:rFonts w:ascii="仿宋" w:hAnsi="仿宋" w:eastAsia="仿宋"/>
          <w:sz w:val="28"/>
          <w:szCs w:val="28"/>
          <w:u w:val="single"/>
        </w:rPr>
        <w:t xml:space="preserve">           </w:t>
      </w:r>
    </w:p>
    <w:p>
      <w:pPr>
        <w:spacing w:before="624" w:beforeLines="200" w:line="360" w:lineRule="auto"/>
        <w:ind w:right="1062" w:firstLine="560" w:firstLineChars="200"/>
        <w:jc w:val="center"/>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听课专家签字：</w:t>
      </w:r>
    </w:p>
    <w:p>
      <w:pPr>
        <w:spacing w:line="360" w:lineRule="auto"/>
        <w:ind w:right="-58" w:firstLine="560" w:firstLineChars="200"/>
        <w:jc w:val="right"/>
      </w:pP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年</w:t>
      </w:r>
      <w:r>
        <w:rPr>
          <w:rFonts w:ascii="仿宋" w:hAnsi="仿宋" w:eastAsia="仿宋" w:cs="仿宋"/>
          <w:sz w:val="28"/>
          <w:szCs w:val="28"/>
        </w:rPr>
        <w:t xml:space="preserve">  </w:t>
      </w:r>
      <w:r>
        <w:rPr>
          <w:rFonts w:hint="eastAsia" w:ascii="仿宋" w:hAnsi="仿宋" w:eastAsia="仿宋" w:cs="仿宋"/>
          <w:sz w:val="28"/>
          <w:szCs w:val="28"/>
        </w:rPr>
        <w:t xml:space="preserve">月 </w:t>
      </w:r>
      <w:r>
        <w:rPr>
          <w:rFonts w:ascii="仿宋" w:hAnsi="仿宋" w:eastAsia="仿宋" w:cs="仿宋"/>
          <w:sz w:val="28"/>
          <w:szCs w:val="28"/>
        </w:rPr>
        <w:t xml:space="preserve"> </w:t>
      </w:r>
      <w:r>
        <w:rPr>
          <w:rFonts w:hint="eastAsia" w:ascii="仿宋" w:hAnsi="仿宋" w:eastAsia="仿宋" w:cs="仿宋"/>
          <w:sz w:val="28"/>
          <w:szCs w:val="28"/>
        </w:rPr>
        <w:t xml:space="preserve">日 </w:t>
      </w:r>
    </w:p>
    <w:p>
      <w:pPr>
        <w:spacing w:line="360" w:lineRule="auto"/>
        <w:ind w:firstLine="480" w:firstLineChars="200"/>
        <w:rPr>
          <w:rFonts w:ascii="仿宋" w:hAnsi="仿宋" w:eastAsia="仿宋" w:cs="Times New Roman"/>
          <w:bCs/>
          <w:sz w:val="24"/>
          <w:szCs w:val="24"/>
        </w:rPr>
      </w:pPr>
    </w:p>
    <w:p>
      <w:pPr>
        <w:spacing w:line="360" w:lineRule="auto"/>
        <w:rPr>
          <w:rFonts w:ascii="仿宋" w:hAnsi="仿宋" w:eastAsia="仿宋" w:cs="Times New Roman"/>
          <w:bCs/>
          <w:sz w:val="24"/>
          <w:szCs w:val="24"/>
        </w:rPr>
      </w:pPr>
    </w:p>
    <w:p>
      <w:pPr>
        <w:spacing w:line="360" w:lineRule="auto"/>
        <w:ind w:firstLine="480" w:firstLineChars="200"/>
        <w:rPr>
          <w:rFonts w:ascii="仿宋" w:hAnsi="仿宋" w:eastAsia="仿宋" w:cs="Times New Roman"/>
          <w:bCs/>
          <w:sz w:val="24"/>
          <w:szCs w:val="24"/>
        </w:rPr>
      </w:pPr>
    </w:p>
    <w:p>
      <w:pPr>
        <w:spacing w:line="360" w:lineRule="auto"/>
        <w:ind w:firstLine="480" w:firstLineChars="200"/>
        <w:rPr>
          <w:rFonts w:ascii="仿宋" w:hAnsi="仿宋" w:eastAsia="仿宋" w:cs="Times New Roman"/>
          <w:bCs/>
          <w:sz w:val="24"/>
          <w:szCs w:val="24"/>
        </w:rPr>
      </w:pPr>
    </w:p>
    <w:p>
      <w:pPr>
        <w:spacing w:line="360" w:lineRule="auto"/>
        <w:ind w:firstLine="480" w:firstLineChars="200"/>
        <w:rPr>
          <w:rFonts w:ascii="仿宋" w:hAnsi="仿宋" w:eastAsia="仿宋" w:cs="Times New Roman"/>
          <w:bCs/>
          <w:sz w:val="24"/>
          <w:szCs w:val="24"/>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pPr>
        <w:spacing w:line="360" w:lineRule="auto"/>
        <w:jc w:val="center"/>
        <w:rPr>
          <w:rFonts w:hint="eastAsia" w:ascii="黑体" w:hAnsi="黑体" w:eastAsia="黑体"/>
          <w:sz w:val="32"/>
          <w:szCs w:val="32"/>
        </w:rPr>
      </w:pPr>
    </w:p>
    <w:p/>
    <w:sectPr>
      <w:pgSz w:w="11906" w:h="16838"/>
      <w:pgMar w:top="1440" w:right="426" w:bottom="1440" w:left="1134"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Webdings">
    <w:panose1 w:val="05030102010509060703"/>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0"/>
      </w:pPr>
      <w:r>
        <w:rPr>
          <w:rStyle w:val="16"/>
        </w:rPr>
        <w:footnoteRef/>
      </w:r>
      <w:r>
        <w:t xml:space="preserve"> </w:t>
      </w:r>
      <w:r>
        <w:rPr>
          <w:rFonts w:hint="eastAsia" w:ascii="仿宋" w:hAnsi="仿宋" w:eastAsia="仿宋"/>
        </w:rPr>
        <w:t>常驻人员指工作重心放在受援学校的管理和教学人员，不包括临时性人员或每周仅前往受援学校</w:t>
      </w:r>
      <w:r>
        <w:rPr>
          <w:rFonts w:ascii="仿宋" w:hAnsi="仿宋" w:eastAsia="仿宋"/>
        </w:rPr>
        <w:t>1～2次的人员。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360" w:hanging="360"/>
      </w:pPr>
      <w:rPr>
        <w:rFonts w:hint="default"/>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0000005"/>
    <w:multiLevelType w:val="multilevel"/>
    <w:tmpl w:val="00000005"/>
    <w:lvl w:ilvl="0" w:tentative="0">
      <w:start w:val="1"/>
      <w:numFmt w:val="decimal"/>
      <w:lvlText w:val="%1."/>
      <w:lvlJc w:val="left"/>
      <w:pPr>
        <w:ind w:left="2380" w:hanging="1820"/>
      </w:pPr>
      <w:rPr>
        <w:rFonts w:hint="default"/>
        <w:b/>
        <w:bCs/>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abstractNum w:abstractNumId="2">
    <w:nsid w:val="2B4C46BA"/>
    <w:multiLevelType w:val="multilevel"/>
    <w:tmpl w:val="2B4C46BA"/>
    <w:lvl w:ilvl="0" w:tentative="0">
      <w:start w:val="1"/>
      <w:numFmt w:val="decimal"/>
      <w:lvlText w:val="%1."/>
      <w:lvlJc w:val="left"/>
      <w:pPr>
        <w:ind w:left="360" w:hanging="360"/>
      </w:pPr>
      <w:rPr>
        <w:rFonts w:hint="eastAsia"/>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38F58146"/>
    <w:multiLevelType w:val="singleLevel"/>
    <w:tmpl w:val="38F58146"/>
    <w:lvl w:ilvl="0" w:tentative="0">
      <w:start w:val="1"/>
      <w:numFmt w:val="decimal"/>
      <w:lvlText w:val="%1."/>
      <w:lvlJc w:val="left"/>
      <w:pPr>
        <w:tabs>
          <w:tab w:val="left" w:pos="312"/>
        </w:tabs>
      </w:pPr>
    </w:lvl>
  </w:abstractNum>
  <w:abstractNum w:abstractNumId="4">
    <w:nsid w:val="70054035"/>
    <w:multiLevelType w:val="multilevel"/>
    <w:tmpl w:val="70054035"/>
    <w:lvl w:ilvl="0" w:tentative="0">
      <w:start w:val="1"/>
      <w:numFmt w:val="decimal"/>
      <w:lvlText w:val="%1."/>
      <w:lvlJc w:val="left"/>
      <w:pPr>
        <w:ind w:left="360" w:hanging="360"/>
      </w:pPr>
      <w:rPr>
        <w:rFonts w:hint="eastAsia"/>
        <w:b/>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7D4A89D5"/>
    <w:multiLevelType w:val="singleLevel"/>
    <w:tmpl w:val="7D4A89D5"/>
    <w:lvl w:ilvl="0" w:tentative="0">
      <w:start w:val="1"/>
      <w:numFmt w:val="decimal"/>
      <w:lvlText w:val="%1."/>
      <w:lvlJc w:val="left"/>
      <w:pPr>
        <w:tabs>
          <w:tab w:val="left" w:pos="312"/>
        </w:tabs>
      </w:pPr>
    </w:lvl>
  </w:abstractNum>
  <w:num w:numId="1">
    <w:abstractNumId w:val="5"/>
  </w:num>
  <w:num w:numId="2">
    <w:abstractNumId w:val="3"/>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08"/>
  <w:hyphenationZone w:val="425"/>
  <w:characterSpacingControl w:val="doNotCompress"/>
  <w:footnotePr>
    <w:footnote w:id="2"/>
    <w:footnote w:id="3"/>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kNTgxYmIwOTdiMzA4MWEyZWMzYjlhMDdjNzhjNDUifQ=="/>
  </w:docVars>
  <w:rsids>
    <w:rsidRoot w:val="00172A27"/>
    <w:rsid w:val="00017FC9"/>
    <w:rsid w:val="000619DA"/>
    <w:rsid w:val="00081980"/>
    <w:rsid w:val="000B28D5"/>
    <w:rsid w:val="000D72BC"/>
    <w:rsid w:val="00142B48"/>
    <w:rsid w:val="00172A27"/>
    <w:rsid w:val="00175A81"/>
    <w:rsid w:val="00194A69"/>
    <w:rsid w:val="001B6A91"/>
    <w:rsid w:val="001C075C"/>
    <w:rsid w:val="00225191"/>
    <w:rsid w:val="00250AC7"/>
    <w:rsid w:val="002661E4"/>
    <w:rsid w:val="00277211"/>
    <w:rsid w:val="00296E6C"/>
    <w:rsid w:val="002A42D5"/>
    <w:rsid w:val="002B5294"/>
    <w:rsid w:val="002C0785"/>
    <w:rsid w:val="003506CB"/>
    <w:rsid w:val="003939C8"/>
    <w:rsid w:val="003A6956"/>
    <w:rsid w:val="003C065D"/>
    <w:rsid w:val="003F07C3"/>
    <w:rsid w:val="004308FF"/>
    <w:rsid w:val="0048686C"/>
    <w:rsid w:val="00487E49"/>
    <w:rsid w:val="004969A0"/>
    <w:rsid w:val="004B66FF"/>
    <w:rsid w:val="004C7D21"/>
    <w:rsid w:val="004D021A"/>
    <w:rsid w:val="004F559D"/>
    <w:rsid w:val="005A40C0"/>
    <w:rsid w:val="005E00E7"/>
    <w:rsid w:val="005E1842"/>
    <w:rsid w:val="005E5B91"/>
    <w:rsid w:val="005F74AD"/>
    <w:rsid w:val="006371E9"/>
    <w:rsid w:val="00660A9A"/>
    <w:rsid w:val="00676BE9"/>
    <w:rsid w:val="006A15AB"/>
    <w:rsid w:val="006A4E22"/>
    <w:rsid w:val="006E73EE"/>
    <w:rsid w:val="00700480"/>
    <w:rsid w:val="007009AD"/>
    <w:rsid w:val="00705727"/>
    <w:rsid w:val="0070608A"/>
    <w:rsid w:val="007538CB"/>
    <w:rsid w:val="00754556"/>
    <w:rsid w:val="007962AB"/>
    <w:rsid w:val="007B3FC0"/>
    <w:rsid w:val="007B5CCE"/>
    <w:rsid w:val="008631C7"/>
    <w:rsid w:val="0087161B"/>
    <w:rsid w:val="00873743"/>
    <w:rsid w:val="008A1C41"/>
    <w:rsid w:val="008A3CA5"/>
    <w:rsid w:val="008B508E"/>
    <w:rsid w:val="0091119B"/>
    <w:rsid w:val="0096228B"/>
    <w:rsid w:val="00983FA0"/>
    <w:rsid w:val="00997ADE"/>
    <w:rsid w:val="00A3415D"/>
    <w:rsid w:val="00A47EFE"/>
    <w:rsid w:val="00A566C9"/>
    <w:rsid w:val="00A9423C"/>
    <w:rsid w:val="00AA5BB3"/>
    <w:rsid w:val="00AE4851"/>
    <w:rsid w:val="00AF4161"/>
    <w:rsid w:val="00B72853"/>
    <w:rsid w:val="00B737BE"/>
    <w:rsid w:val="00B9175D"/>
    <w:rsid w:val="00BE4363"/>
    <w:rsid w:val="00C246BA"/>
    <w:rsid w:val="00C2780B"/>
    <w:rsid w:val="00C655BB"/>
    <w:rsid w:val="00C84553"/>
    <w:rsid w:val="00CB06F9"/>
    <w:rsid w:val="00CC5DF3"/>
    <w:rsid w:val="00D2013B"/>
    <w:rsid w:val="00D53238"/>
    <w:rsid w:val="00D747AE"/>
    <w:rsid w:val="00DA14E7"/>
    <w:rsid w:val="00DC5F30"/>
    <w:rsid w:val="00DF4FD4"/>
    <w:rsid w:val="00F56132"/>
    <w:rsid w:val="00FC0392"/>
    <w:rsid w:val="00FC7771"/>
    <w:rsid w:val="00FE5358"/>
    <w:rsid w:val="00FF0607"/>
    <w:rsid w:val="02013F44"/>
    <w:rsid w:val="024C0C9D"/>
    <w:rsid w:val="05815252"/>
    <w:rsid w:val="07752876"/>
    <w:rsid w:val="08CC7876"/>
    <w:rsid w:val="093E7267"/>
    <w:rsid w:val="0C19386B"/>
    <w:rsid w:val="0E0802A4"/>
    <w:rsid w:val="0E1053AA"/>
    <w:rsid w:val="0ECA4841"/>
    <w:rsid w:val="11F809A1"/>
    <w:rsid w:val="125E0EE8"/>
    <w:rsid w:val="18C2224C"/>
    <w:rsid w:val="18CE4512"/>
    <w:rsid w:val="19120228"/>
    <w:rsid w:val="19D12F08"/>
    <w:rsid w:val="1A672157"/>
    <w:rsid w:val="1B1D263D"/>
    <w:rsid w:val="1B6E5C2A"/>
    <w:rsid w:val="1E731769"/>
    <w:rsid w:val="1E927E5B"/>
    <w:rsid w:val="22E74F00"/>
    <w:rsid w:val="23821617"/>
    <w:rsid w:val="270C32DB"/>
    <w:rsid w:val="276B0F54"/>
    <w:rsid w:val="28060650"/>
    <w:rsid w:val="28232784"/>
    <w:rsid w:val="28D23343"/>
    <w:rsid w:val="296C76A6"/>
    <w:rsid w:val="2A851ED4"/>
    <w:rsid w:val="2C7261A5"/>
    <w:rsid w:val="2DA74F8B"/>
    <w:rsid w:val="35201379"/>
    <w:rsid w:val="39AB2966"/>
    <w:rsid w:val="3A5D75C7"/>
    <w:rsid w:val="3B1A0F21"/>
    <w:rsid w:val="3C5C7082"/>
    <w:rsid w:val="3D66177A"/>
    <w:rsid w:val="3E0E21E5"/>
    <w:rsid w:val="3E5273AC"/>
    <w:rsid w:val="4182744A"/>
    <w:rsid w:val="438F6794"/>
    <w:rsid w:val="43920708"/>
    <w:rsid w:val="44C23E37"/>
    <w:rsid w:val="4630469C"/>
    <w:rsid w:val="46F56123"/>
    <w:rsid w:val="47966597"/>
    <w:rsid w:val="4B903DD3"/>
    <w:rsid w:val="4C87000A"/>
    <w:rsid w:val="4D8F0DBF"/>
    <w:rsid w:val="50342257"/>
    <w:rsid w:val="52D814B3"/>
    <w:rsid w:val="539C4C17"/>
    <w:rsid w:val="585945A2"/>
    <w:rsid w:val="59560034"/>
    <w:rsid w:val="59B90AA1"/>
    <w:rsid w:val="5F313E05"/>
    <w:rsid w:val="5FB3240B"/>
    <w:rsid w:val="610D4272"/>
    <w:rsid w:val="6467743B"/>
    <w:rsid w:val="66C53670"/>
    <w:rsid w:val="684A777E"/>
    <w:rsid w:val="6A927CC3"/>
    <w:rsid w:val="6B7E28E5"/>
    <w:rsid w:val="6CA34C2D"/>
    <w:rsid w:val="6EA463A2"/>
    <w:rsid w:val="6F383C64"/>
    <w:rsid w:val="6FDB6693"/>
    <w:rsid w:val="714D4ACF"/>
    <w:rsid w:val="72B75796"/>
    <w:rsid w:val="75281F7F"/>
    <w:rsid w:val="79C11EE8"/>
    <w:rsid w:val="7A24483B"/>
    <w:rsid w:val="7E9C5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Arial" w:hAnsi="Arial" w:eastAsia="Arial" w:cs="Arial"/>
      <w:sz w:val="22"/>
      <w:szCs w:val="22"/>
      <w:lang w:val="en-US" w:eastAsia="zh-CN" w:bidi="ar-SA"/>
    </w:rPr>
  </w:style>
  <w:style w:type="paragraph" w:styleId="2">
    <w:name w:val="heading 1"/>
    <w:basedOn w:val="1"/>
    <w:qFormat/>
    <w:uiPriority w:val="0"/>
    <w:pPr>
      <w:jc w:val="left"/>
      <w:outlineLvl w:val="0"/>
    </w:pPr>
    <w:rPr>
      <w:rFonts w:ascii="Calibri" w:hAnsi="Calibri" w:eastAsia="Calibri" w:cs="Calibri"/>
      <w:sz w:val="20"/>
      <w:szCs w:val="20"/>
    </w:rPr>
  </w:style>
  <w:style w:type="paragraph" w:styleId="3">
    <w:name w:val="heading 2"/>
    <w:basedOn w:val="1"/>
    <w:qFormat/>
    <w:uiPriority w:val="0"/>
    <w:pPr>
      <w:jc w:val="left"/>
      <w:outlineLvl w:val="1"/>
    </w:pPr>
    <w:rPr>
      <w:rFonts w:ascii="Calibri" w:hAnsi="Calibri" w:eastAsia="Calibri" w:cs="Calibri"/>
      <w:sz w:val="20"/>
      <w:szCs w:val="20"/>
    </w:rPr>
  </w:style>
  <w:style w:type="paragraph" w:styleId="4">
    <w:name w:val="heading 3"/>
    <w:basedOn w:val="1"/>
    <w:qFormat/>
    <w:uiPriority w:val="0"/>
    <w:pPr>
      <w:jc w:val="left"/>
      <w:outlineLvl w:val="2"/>
    </w:pPr>
    <w:rPr>
      <w:rFonts w:ascii="Calibri" w:hAnsi="Calibri" w:eastAsia="Calibri" w:cs="Calibri"/>
      <w:sz w:val="20"/>
      <w:szCs w:val="20"/>
    </w:rPr>
  </w:style>
  <w:style w:type="paragraph" w:styleId="5">
    <w:name w:val="heading 4"/>
    <w:basedOn w:val="1"/>
    <w:qFormat/>
    <w:uiPriority w:val="0"/>
    <w:pPr>
      <w:jc w:val="left"/>
      <w:outlineLvl w:val="3"/>
    </w:pPr>
    <w:rPr>
      <w:rFonts w:ascii="Calibri" w:hAnsi="Calibri" w:eastAsia="Calibri" w:cs="Calibri"/>
      <w:sz w:val="20"/>
      <w:szCs w:val="20"/>
    </w:rPr>
  </w:style>
  <w:style w:type="paragraph" w:styleId="6">
    <w:name w:val="heading 5"/>
    <w:basedOn w:val="1"/>
    <w:qFormat/>
    <w:uiPriority w:val="0"/>
    <w:pPr>
      <w:jc w:val="left"/>
      <w:outlineLvl w:val="4"/>
    </w:pPr>
    <w:rPr>
      <w:rFonts w:ascii="Calibri" w:hAnsi="Calibri" w:eastAsia="Calibri" w:cs="Calibri"/>
      <w:sz w:val="20"/>
      <w:szCs w:val="20"/>
    </w:rPr>
  </w:style>
  <w:style w:type="paragraph" w:styleId="7">
    <w:name w:val="heading 6"/>
    <w:basedOn w:val="1"/>
    <w:qFormat/>
    <w:uiPriority w:val="0"/>
    <w:pPr>
      <w:jc w:val="left"/>
      <w:outlineLvl w:val="5"/>
    </w:pPr>
    <w:rPr>
      <w:rFonts w:ascii="Calibri" w:hAnsi="Calibri" w:eastAsia="Calibri" w:cs="Calibri"/>
      <w:sz w:val="20"/>
      <w:szCs w:val="2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qFormat/>
    <w:uiPriority w:val="0"/>
    <w:pPr>
      <w:snapToGrid w:val="0"/>
      <w:jc w:val="left"/>
    </w:pPr>
    <w:rPr>
      <w:rFonts w:cs="Times New Roman"/>
      <w:sz w:val="18"/>
      <w:szCs w:val="18"/>
    </w:rPr>
  </w:style>
  <w:style w:type="paragraph" w:styleId="11">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qFormat/>
    <w:uiPriority w:val="10"/>
    <w:pPr>
      <w:spacing w:line="360" w:lineRule="auto"/>
      <w:ind w:firstLine="200" w:firstLineChars="200"/>
      <w:jc w:val="left"/>
      <w:outlineLvl w:val="0"/>
    </w:pPr>
    <w:rPr>
      <w:rFonts w:eastAsia="仿宋" w:asciiTheme="majorHAnsi" w:hAnsiTheme="majorHAnsi" w:cstheme="majorBidi"/>
      <w:b/>
      <w:bCs/>
      <w:sz w:val="28"/>
      <w:szCs w:val="32"/>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otnote reference"/>
    <w:semiHidden/>
    <w:unhideWhenUsed/>
    <w:qFormat/>
    <w:uiPriority w:val="0"/>
    <w:rPr>
      <w:vertAlign w:val="superscript"/>
    </w:rPr>
  </w:style>
  <w:style w:type="character" w:customStyle="1" w:styleId="17">
    <w:name w:val="页眉 字符"/>
    <w:basedOn w:val="15"/>
    <w:link w:val="9"/>
    <w:qFormat/>
    <w:uiPriority w:val="0"/>
    <w:rPr>
      <w:rFonts w:eastAsia="Arial"/>
      <w:sz w:val="18"/>
      <w:szCs w:val="18"/>
    </w:rPr>
  </w:style>
  <w:style w:type="character" w:customStyle="1" w:styleId="18">
    <w:name w:val="页脚 字符"/>
    <w:basedOn w:val="15"/>
    <w:link w:val="8"/>
    <w:qFormat/>
    <w:uiPriority w:val="0"/>
    <w:rPr>
      <w:rFonts w:eastAsia="Arial"/>
      <w:sz w:val="18"/>
      <w:szCs w:val="18"/>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Organization</Company>
  <Pages>1</Pages>
  <Words>2043</Words>
  <Characters>11648</Characters>
  <Lines>97</Lines>
  <Paragraphs>27</Paragraphs>
  <TotalTime>19</TotalTime>
  <ScaleCrop>false</ScaleCrop>
  <LinksUpToDate>false</LinksUpToDate>
  <CharactersWithSpaces>13664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2023-10-31T00:41:00Z</dcterms:created>
  <dc:creator>天堂鸟</dc:creator>
  <cp:lastModifiedBy>天堂鸟</cp:lastModifiedBy>
  <dcterms:modified xsi:type="dcterms:W3CDTF">2023-11-09T02:42:29Z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1C3DD87A0D8E49F49B091E811D40BFAB_12</vt:lpwstr>
  </property>
</Properties>
</file>